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94DA" w14:textId="58D4FAC6" w:rsidR="00EC7978" w:rsidRDefault="00A10E90">
      <w:pPr>
        <w:rPr>
          <w:rFonts w:ascii="Times New Roman" w:hAnsi="Times New Roman" w:cs="Times New Roman"/>
          <w:b/>
          <w:bCs/>
          <w:sz w:val="24"/>
          <w:szCs w:val="24"/>
        </w:rPr>
      </w:pPr>
      <w:r w:rsidRPr="00606EE4">
        <w:rPr>
          <w:rFonts w:ascii="Times New Roman" w:hAnsi="Times New Roman" w:cs="Times New Roman"/>
          <w:b/>
          <w:bCs/>
          <w:sz w:val="24"/>
          <w:szCs w:val="24"/>
        </w:rPr>
        <w:t>Decoloniality and Education</w:t>
      </w:r>
      <w:r w:rsidR="00606EE4" w:rsidRPr="00606EE4">
        <w:rPr>
          <w:rFonts w:ascii="Times New Roman" w:hAnsi="Times New Roman" w:cs="Times New Roman"/>
          <w:b/>
          <w:bCs/>
          <w:sz w:val="24"/>
          <w:szCs w:val="24"/>
        </w:rPr>
        <w:t xml:space="preserve"> – Doctoral S</w:t>
      </w:r>
      <w:r w:rsidR="00606EE4">
        <w:rPr>
          <w:rFonts w:ascii="Times New Roman" w:hAnsi="Times New Roman" w:cs="Times New Roman"/>
          <w:b/>
          <w:bCs/>
          <w:sz w:val="24"/>
          <w:szCs w:val="24"/>
        </w:rPr>
        <w:t xml:space="preserve">eminar IL 3248 </w:t>
      </w:r>
    </w:p>
    <w:p w14:paraId="2F83E667" w14:textId="1338DF0D" w:rsidR="00606EE4" w:rsidRDefault="00606EE4">
      <w:pPr>
        <w:rPr>
          <w:rFonts w:ascii="Times New Roman" w:hAnsi="Times New Roman" w:cs="Times New Roman"/>
          <w:b/>
          <w:bCs/>
          <w:sz w:val="24"/>
          <w:szCs w:val="24"/>
        </w:rPr>
      </w:pPr>
      <w:r>
        <w:rPr>
          <w:rFonts w:ascii="Times New Roman" w:hAnsi="Times New Roman" w:cs="Times New Roman"/>
          <w:b/>
          <w:bCs/>
          <w:sz w:val="24"/>
          <w:szCs w:val="24"/>
        </w:rPr>
        <w:t xml:space="preserve">Meeting form: Zoom </w:t>
      </w:r>
    </w:p>
    <w:p w14:paraId="07D1A634" w14:textId="7F6CD7BC" w:rsidR="00606EE4" w:rsidRPr="00606EE4" w:rsidRDefault="00606EE4">
      <w:pPr>
        <w:rPr>
          <w:rFonts w:ascii="Times New Roman" w:hAnsi="Times New Roman" w:cs="Times New Roman"/>
          <w:b/>
          <w:bCs/>
          <w:sz w:val="24"/>
          <w:szCs w:val="24"/>
        </w:rPr>
      </w:pPr>
      <w:r>
        <w:rPr>
          <w:rFonts w:ascii="Times New Roman" w:hAnsi="Times New Roman" w:cs="Times New Roman"/>
          <w:b/>
          <w:bCs/>
          <w:sz w:val="24"/>
          <w:szCs w:val="24"/>
        </w:rPr>
        <w:t>Professor: Josué López</w:t>
      </w:r>
    </w:p>
    <w:p w14:paraId="22F9C8E9" w14:textId="77777777" w:rsidR="00EA203E" w:rsidRDefault="00A10E90">
      <w:pPr>
        <w:rPr>
          <w:rFonts w:ascii="Times New Roman" w:hAnsi="Times New Roman" w:cs="Times New Roman"/>
          <w:i/>
          <w:iCs/>
          <w:sz w:val="24"/>
          <w:szCs w:val="24"/>
        </w:rPr>
      </w:pPr>
      <w:r w:rsidRPr="00EA203E">
        <w:rPr>
          <w:rFonts w:ascii="Times New Roman" w:hAnsi="Times New Roman" w:cs="Times New Roman"/>
          <w:b/>
          <w:bCs/>
          <w:i/>
          <w:iCs/>
          <w:sz w:val="24"/>
          <w:szCs w:val="24"/>
          <w:u w:val="single"/>
        </w:rPr>
        <w:t>Course Description</w:t>
      </w:r>
    </w:p>
    <w:p w14:paraId="3B1E3A05" w14:textId="0140834D" w:rsidR="00A10E90" w:rsidRDefault="00A10E90">
      <w:pPr>
        <w:rPr>
          <w:rFonts w:ascii="Times New Roman" w:hAnsi="Times New Roman" w:cs="Times New Roman"/>
          <w:sz w:val="24"/>
          <w:szCs w:val="24"/>
        </w:rPr>
      </w:pPr>
      <w:r w:rsidRPr="00A10E90">
        <w:rPr>
          <w:rFonts w:ascii="Times New Roman" w:hAnsi="Times New Roman" w:cs="Times New Roman"/>
          <w:sz w:val="24"/>
          <w:szCs w:val="24"/>
        </w:rPr>
        <w:t>Decolonial struggles i</w:t>
      </w:r>
      <w:r>
        <w:rPr>
          <w:rFonts w:ascii="Times New Roman" w:hAnsi="Times New Roman" w:cs="Times New Roman"/>
          <w:sz w:val="24"/>
          <w:szCs w:val="24"/>
        </w:rPr>
        <w:t xml:space="preserve">nvolve a robust critique of social, economic, political, and spiritual conditions that pose challenges for meeting our needs and interests so we may live well. Moreover, decoloniality is not simply a negation of dehumanizing practices; decoloniality also involves the active recognition, construction, and development of humanizing alternatives. Such is pressing work for those interested in the role of education more broadly and schooling more specifically. Drawing from Africana, settler colonial, and immigration &amp; border studies, this course will explore both solidary efforts as well as ongoing tensions in the construction of a shared world.  </w:t>
      </w:r>
    </w:p>
    <w:p w14:paraId="71B14917" w14:textId="77777777" w:rsidR="00EA203E" w:rsidRPr="00EA203E" w:rsidRDefault="00EA203E" w:rsidP="00EA203E">
      <w:pPr>
        <w:rPr>
          <w:rFonts w:ascii="Times New Roman" w:hAnsi="Times New Roman" w:cs="Times New Roman"/>
          <w:b/>
          <w:bCs/>
          <w:i/>
          <w:iCs/>
          <w:sz w:val="24"/>
          <w:szCs w:val="24"/>
          <w:u w:val="single"/>
        </w:rPr>
      </w:pPr>
      <w:r w:rsidRPr="00EA203E">
        <w:rPr>
          <w:rFonts w:ascii="Times New Roman" w:hAnsi="Times New Roman" w:cs="Times New Roman"/>
          <w:b/>
          <w:bCs/>
          <w:i/>
          <w:iCs/>
          <w:sz w:val="24"/>
          <w:szCs w:val="24"/>
          <w:u w:val="single"/>
        </w:rPr>
        <w:t>Evaluation</w:t>
      </w:r>
    </w:p>
    <w:p w14:paraId="394DFD7A" w14:textId="77777777" w:rsidR="00EA203E" w:rsidRPr="00917004" w:rsidRDefault="00EA203E" w:rsidP="00EA203E">
      <w:pPr>
        <w:rPr>
          <w:rFonts w:ascii="Times New Roman" w:hAnsi="Times New Roman" w:cs="Times New Roman"/>
          <w:sz w:val="24"/>
          <w:szCs w:val="24"/>
        </w:rPr>
      </w:pPr>
      <w:r>
        <w:rPr>
          <w:rFonts w:ascii="Times New Roman" w:hAnsi="Times New Roman" w:cs="Times New Roman"/>
          <w:sz w:val="24"/>
          <w:szCs w:val="24"/>
        </w:rPr>
        <w:t xml:space="preserve">Students will select a final project that aligns with their own intellectual and research interests. Students will meet individually with the professor to collectively determine a midterm benchmark as well as “final” product as demonstration of learning throughout the course and its application to one’s own needs and interests. </w:t>
      </w:r>
    </w:p>
    <w:p w14:paraId="0D5785B6" w14:textId="445FA883" w:rsidR="00EA203E" w:rsidRDefault="00EA203E">
      <w:pPr>
        <w:rPr>
          <w:rFonts w:ascii="Times New Roman" w:hAnsi="Times New Roman" w:cs="Times New Roman"/>
          <w:sz w:val="24"/>
          <w:szCs w:val="24"/>
        </w:rPr>
      </w:pPr>
    </w:p>
    <w:p w14:paraId="24D080A9" w14:textId="2938EEB9" w:rsidR="00EA203E" w:rsidRPr="00EA203E" w:rsidRDefault="00EA203E">
      <w:pPr>
        <w:rPr>
          <w:rFonts w:ascii="Times New Roman" w:hAnsi="Times New Roman" w:cs="Times New Roman"/>
          <w:b/>
          <w:bCs/>
          <w:i/>
          <w:iCs/>
          <w:sz w:val="24"/>
          <w:szCs w:val="24"/>
          <w:u w:val="single"/>
        </w:rPr>
      </w:pPr>
      <w:r w:rsidRPr="00EA203E">
        <w:rPr>
          <w:rFonts w:ascii="Times New Roman" w:hAnsi="Times New Roman" w:cs="Times New Roman"/>
          <w:b/>
          <w:bCs/>
          <w:i/>
          <w:iCs/>
          <w:sz w:val="24"/>
          <w:szCs w:val="24"/>
          <w:u w:val="single"/>
        </w:rPr>
        <w:t>Course Readings</w:t>
      </w:r>
    </w:p>
    <w:p w14:paraId="3CA4D259" w14:textId="7A8EA824" w:rsidR="003C6962" w:rsidRPr="006E49D3" w:rsidRDefault="00A51F4C">
      <w:pPr>
        <w:rPr>
          <w:rFonts w:ascii="Times New Roman" w:hAnsi="Times New Roman" w:cs="Times New Roman"/>
          <w:b/>
          <w:bCs/>
          <w:sz w:val="24"/>
          <w:szCs w:val="24"/>
          <w:u w:val="single"/>
        </w:rPr>
      </w:pPr>
      <w:r w:rsidRPr="006E49D3">
        <w:rPr>
          <w:rFonts w:ascii="Times New Roman" w:hAnsi="Times New Roman" w:cs="Times New Roman"/>
          <w:b/>
          <w:bCs/>
          <w:sz w:val="24"/>
          <w:szCs w:val="24"/>
        </w:rPr>
        <w:t>Introduction to Decolonization and Decoloniality</w:t>
      </w:r>
      <w:r w:rsidRPr="006E49D3">
        <w:rPr>
          <w:rFonts w:ascii="Times New Roman" w:hAnsi="Times New Roman" w:cs="Times New Roman"/>
          <w:b/>
          <w:bCs/>
          <w:sz w:val="24"/>
          <w:szCs w:val="24"/>
          <w:u w:val="single"/>
        </w:rPr>
        <w:t xml:space="preserve"> </w:t>
      </w:r>
    </w:p>
    <w:p w14:paraId="4987AFA1" w14:textId="47EED5DA" w:rsidR="003C6962" w:rsidRDefault="003C6962">
      <w:pPr>
        <w:rPr>
          <w:rFonts w:ascii="Times New Roman" w:hAnsi="Times New Roman" w:cs="Times New Roman"/>
          <w:sz w:val="24"/>
          <w:szCs w:val="24"/>
        </w:rPr>
      </w:pPr>
      <w:r>
        <w:rPr>
          <w:rFonts w:ascii="Times New Roman" w:hAnsi="Times New Roman" w:cs="Times New Roman"/>
          <w:sz w:val="24"/>
          <w:szCs w:val="24"/>
        </w:rPr>
        <w:t>Tuck and Yang (2012) – “Decolonization is not a metaphor”</w:t>
      </w:r>
    </w:p>
    <w:p w14:paraId="308EDE78" w14:textId="26A4BEAD" w:rsidR="00161BC7" w:rsidRPr="00A51F4C" w:rsidRDefault="00A51F4C">
      <w:pPr>
        <w:rPr>
          <w:rFonts w:ascii="Times New Roman" w:hAnsi="Times New Roman" w:cs="Times New Roman"/>
          <w:sz w:val="24"/>
          <w:szCs w:val="24"/>
        </w:rPr>
      </w:pPr>
      <w:proofErr w:type="spellStart"/>
      <w:r w:rsidRPr="00A51F4C">
        <w:rPr>
          <w:rFonts w:ascii="Times New Roman" w:hAnsi="Times New Roman" w:cs="Times New Roman"/>
          <w:sz w:val="24"/>
          <w:szCs w:val="24"/>
        </w:rPr>
        <w:t>Grosfoguel</w:t>
      </w:r>
      <w:proofErr w:type="spellEnd"/>
      <w:r w:rsidRPr="00A51F4C">
        <w:rPr>
          <w:rFonts w:ascii="Times New Roman" w:hAnsi="Times New Roman" w:cs="Times New Roman"/>
          <w:sz w:val="24"/>
          <w:szCs w:val="24"/>
        </w:rPr>
        <w:t xml:space="preserve"> (2007) – “The Ep</w:t>
      </w:r>
      <w:r>
        <w:rPr>
          <w:rFonts w:ascii="Times New Roman" w:hAnsi="Times New Roman" w:cs="Times New Roman"/>
          <w:sz w:val="24"/>
          <w:szCs w:val="24"/>
        </w:rPr>
        <w:t>istemic Decolonial Turn”</w:t>
      </w:r>
    </w:p>
    <w:p w14:paraId="71B3AB4E" w14:textId="0D6797B7" w:rsidR="003C6962" w:rsidRPr="00A51F4C" w:rsidRDefault="003C6962">
      <w:pPr>
        <w:rPr>
          <w:rFonts w:ascii="Times New Roman" w:hAnsi="Times New Roman" w:cs="Times New Roman"/>
          <w:sz w:val="24"/>
          <w:szCs w:val="24"/>
        </w:rPr>
      </w:pPr>
      <w:r w:rsidRPr="00A51F4C">
        <w:rPr>
          <w:rFonts w:ascii="Times New Roman" w:hAnsi="Times New Roman" w:cs="Times New Roman"/>
          <w:sz w:val="24"/>
          <w:szCs w:val="24"/>
        </w:rPr>
        <w:t xml:space="preserve">Nelson Maldonado Torres – </w:t>
      </w:r>
      <w:r w:rsidR="00A51F4C" w:rsidRPr="00A51F4C">
        <w:rPr>
          <w:rFonts w:ascii="Times New Roman" w:hAnsi="Times New Roman" w:cs="Times New Roman"/>
          <w:sz w:val="24"/>
          <w:szCs w:val="24"/>
        </w:rPr>
        <w:t xml:space="preserve">“Outline of </w:t>
      </w:r>
      <w:r w:rsidR="00A51F4C">
        <w:rPr>
          <w:rFonts w:ascii="Times New Roman" w:hAnsi="Times New Roman" w:cs="Times New Roman"/>
          <w:sz w:val="24"/>
          <w:szCs w:val="24"/>
        </w:rPr>
        <w:t>Ten Theses on Coloniality and Decoloniality”</w:t>
      </w:r>
    </w:p>
    <w:p w14:paraId="1E1315B2" w14:textId="4DD579A5" w:rsidR="003C6962" w:rsidRPr="006E49D3" w:rsidRDefault="00A51F4C">
      <w:pPr>
        <w:rPr>
          <w:rFonts w:ascii="Times New Roman" w:hAnsi="Times New Roman" w:cs="Times New Roman"/>
          <w:b/>
          <w:bCs/>
          <w:sz w:val="24"/>
          <w:szCs w:val="24"/>
        </w:rPr>
      </w:pPr>
      <w:r w:rsidRPr="006E49D3">
        <w:rPr>
          <w:rFonts w:ascii="Times New Roman" w:hAnsi="Times New Roman" w:cs="Times New Roman"/>
          <w:b/>
          <w:bCs/>
          <w:sz w:val="24"/>
          <w:szCs w:val="24"/>
        </w:rPr>
        <w:t>Indigenous Thought and</w:t>
      </w:r>
      <w:r w:rsidR="006E49D3">
        <w:rPr>
          <w:rFonts w:ascii="Times New Roman" w:hAnsi="Times New Roman" w:cs="Times New Roman"/>
          <w:b/>
          <w:bCs/>
          <w:sz w:val="24"/>
          <w:szCs w:val="24"/>
        </w:rPr>
        <w:t xml:space="preserve"> US</w:t>
      </w:r>
      <w:r w:rsidRPr="006E49D3">
        <w:rPr>
          <w:rFonts w:ascii="Times New Roman" w:hAnsi="Times New Roman" w:cs="Times New Roman"/>
          <w:b/>
          <w:bCs/>
          <w:sz w:val="24"/>
          <w:szCs w:val="24"/>
        </w:rPr>
        <w:t xml:space="preserve"> Education</w:t>
      </w:r>
    </w:p>
    <w:p w14:paraId="554F0FDD" w14:textId="2BA5DFE9" w:rsidR="003C6962" w:rsidRDefault="003C6962" w:rsidP="003C6962">
      <w:pPr>
        <w:rPr>
          <w:rFonts w:ascii="Times New Roman" w:hAnsi="Times New Roman" w:cs="Times New Roman"/>
          <w:i/>
          <w:iCs/>
          <w:sz w:val="24"/>
          <w:szCs w:val="24"/>
        </w:rPr>
      </w:pPr>
      <w:r w:rsidRPr="00A51F4C">
        <w:rPr>
          <w:rFonts w:ascii="Times New Roman" w:hAnsi="Times New Roman" w:cs="Times New Roman"/>
          <w:sz w:val="24"/>
          <w:szCs w:val="24"/>
        </w:rPr>
        <w:t xml:space="preserve">Grande (2015) – </w:t>
      </w:r>
      <w:r w:rsidRPr="00A51F4C">
        <w:rPr>
          <w:rFonts w:ascii="Times New Roman" w:hAnsi="Times New Roman" w:cs="Times New Roman"/>
          <w:i/>
          <w:iCs/>
          <w:sz w:val="24"/>
          <w:szCs w:val="24"/>
        </w:rPr>
        <w:t>Red Pedagogy</w:t>
      </w:r>
    </w:p>
    <w:p w14:paraId="6E07D817" w14:textId="11A87F7E" w:rsidR="003C6962" w:rsidRPr="006E49D3" w:rsidRDefault="00A51F4C" w:rsidP="003C6962">
      <w:pPr>
        <w:rPr>
          <w:rFonts w:ascii="Times New Roman" w:hAnsi="Times New Roman" w:cs="Times New Roman"/>
          <w:b/>
          <w:bCs/>
          <w:sz w:val="24"/>
          <w:szCs w:val="24"/>
        </w:rPr>
      </w:pPr>
      <w:r w:rsidRPr="006E49D3">
        <w:rPr>
          <w:rFonts w:ascii="Times New Roman" w:hAnsi="Times New Roman" w:cs="Times New Roman"/>
          <w:b/>
          <w:bCs/>
          <w:sz w:val="24"/>
          <w:szCs w:val="24"/>
        </w:rPr>
        <w:t>Capitalism and Education</w:t>
      </w:r>
    </w:p>
    <w:p w14:paraId="57FF7931" w14:textId="4D88A06C" w:rsidR="003C6962" w:rsidRPr="003C239D" w:rsidRDefault="003C6962" w:rsidP="003C6962">
      <w:pPr>
        <w:rPr>
          <w:rFonts w:ascii="Times New Roman" w:hAnsi="Times New Roman" w:cs="Times New Roman"/>
          <w:sz w:val="24"/>
          <w:szCs w:val="24"/>
        </w:rPr>
      </w:pPr>
      <w:r>
        <w:rPr>
          <w:rFonts w:ascii="Times New Roman" w:hAnsi="Times New Roman" w:cs="Times New Roman"/>
          <w:sz w:val="24"/>
          <w:szCs w:val="24"/>
        </w:rPr>
        <w:t xml:space="preserve">Bowles and Gintis (2011) – </w:t>
      </w:r>
      <w:r>
        <w:rPr>
          <w:rFonts w:ascii="Times New Roman" w:hAnsi="Times New Roman" w:cs="Times New Roman"/>
          <w:i/>
          <w:iCs/>
          <w:sz w:val="24"/>
          <w:szCs w:val="24"/>
        </w:rPr>
        <w:t>Schooling in Capitalist America</w:t>
      </w:r>
      <w:r w:rsidR="003C239D">
        <w:rPr>
          <w:rFonts w:ascii="Times New Roman" w:hAnsi="Times New Roman" w:cs="Times New Roman"/>
          <w:i/>
          <w:iCs/>
          <w:sz w:val="24"/>
          <w:szCs w:val="24"/>
        </w:rPr>
        <w:t xml:space="preserve"> </w:t>
      </w:r>
      <w:r w:rsidR="003C239D">
        <w:rPr>
          <w:rFonts w:ascii="Times New Roman" w:hAnsi="Times New Roman" w:cs="Times New Roman"/>
          <w:sz w:val="24"/>
          <w:szCs w:val="24"/>
        </w:rPr>
        <w:t>(can borrow from Pitt Library)</w:t>
      </w:r>
    </w:p>
    <w:p w14:paraId="7429A614" w14:textId="4CA24FEF" w:rsidR="003C6962" w:rsidRPr="006E49D3" w:rsidRDefault="00A51F4C" w:rsidP="003C6962">
      <w:pPr>
        <w:rPr>
          <w:rFonts w:ascii="Times New Roman" w:hAnsi="Times New Roman" w:cs="Times New Roman"/>
          <w:b/>
          <w:bCs/>
          <w:sz w:val="24"/>
          <w:szCs w:val="24"/>
        </w:rPr>
      </w:pPr>
      <w:r w:rsidRPr="006E49D3">
        <w:rPr>
          <w:rFonts w:ascii="Times New Roman" w:hAnsi="Times New Roman" w:cs="Times New Roman"/>
          <w:b/>
          <w:bCs/>
          <w:sz w:val="24"/>
          <w:szCs w:val="24"/>
        </w:rPr>
        <w:t>Decoloniality and Power</w:t>
      </w:r>
    </w:p>
    <w:p w14:paraId="3E84B4AC" w14:textId="09F7ED32" w:rsidR="003C6962" w:rsidRDefault="003C6962" w:rsidP="003C6962">
      <w:pPr>
        <w:rPr>
          <w:rFonts w:ascii="Times New Roman" w:hAnsi="Times New Roman" w:cs="Times New Roman"/>
          <w:sz w:val="24"/>
          <w:szCs w:val="24"/>
        </w:rPr>
      </w:pPr>
      <w:r w:rsidRPr="006E49D3">
        <w:rPr>
          <w:rFonts w:ascii="Times New Roman" w:hAnsi="Times New Roman" w:cs="Times New Roman"/>
          <w:sz w:val="24"/>
          <w:szCs w:val="24"/>
        </w:rPr>
        <w:t xml:space="preserve">Walsh &amp; </w:t>
      </w:r>
      <w:proofErr w:type="spellStart"/>
      <w:r w:rsidRPr="006E49D3">
        <w:rPr>
          <w:rFonts w:ascii="Times New Roman" w:hAnsi="Times New Roman" w:cs="Times New Roman"/>
          <w:sz w:val="24"/>
          <w:szCs w:val="24"/>
        </w:rPr>
        <w:t>Mignolo</w:t>
      </w:r>
      <w:proofErr w:type="spellEnd"/>
      <w:r w:rsidRPr="006E49D3">
        <w:rPr>
          <w:rFonts w:ascii="Times New Roman" w:hAnsi="Times New Roman" w:cs="Times New Roman"/>
          <w:sz w:val="24"/>
          <w:szCs w:val="24"/>
        </w:rPr>
        <w:t xml:space="preserve"> (2018) – </w:t>
      </w:r>
      <w:r w:rsidRPr="006E49D3">
        <w:rPr>
          <w:rFonts w:ascii="Times New Roman" w:hAnsi="Times New Roman" w:cs="Times New Roman"/>
          <w:i/>
          <w:iCs/>
          <w:sz w:val="24"/>
          <w:szCs w:val="24"/>
        </w:rPr>
        <w:t>On Decoloniality: Concepts, Analytics, and Praxis</w:t>
      </w:r>
      <w:r w:rsidR="006E49D3">
        <w:rPr>
          <w:rFonts w:ascii="Times New Roman" w:hAnsi="Times New Roman" w:cs="Times New Roman"/>
          <w:i/>
          <w:iCs/>
          <w:sz w:val="24"/>
          <w:szCs w:val="24"/>
        </w:rPr>
        <w:t xml:space="preserve"> </w:t>
      </w:r>
    </w:p>
    <w:p w14:paraId="00511814" w14:textId="25995FD1" w:rsidR="003C6962" w:rsidRDefault="003C6962" w:rsidP="003C6962">
      <w:pPr>
        <w:rPr>
          <w:rFonts w:ascii="Times New Roman" w:hAnsi="Times New Roman" w:cs="Times New Roman"/>
          <w:i/>
          <w:iCs/>
          <w:sz w:val="24"/>
          <w:szCs w:val="24"/>
        </w:rPr>
      </w:pPr>
      <w:proofErr w:type="spellStart"/>
      <w:r w:rsidRPr="006E49D3">
        <w:rPr>
          <w:rFonts w:ascii="Times New Roman" w:hAnsi="Times New Roman" w:cs="Times New Roman"/>
          <w:sz w:val="24"/>
          <w:szCs w:val="24"/>
        </w:rPr>
        <w:t>Mignolo</w:t>
      </w:r>
      <w:proofErr w:type="spellEnd"/>
      <w:r w:rsidRPr="006E49D3">
        <w:rPr>
          <w:rFonts w:ascii="Times New Roman" w:hAnsi="Times New Roman" w:cs="Times New Roman"/>
          <w:sz w:val="24"/>
          <w:szCs w:val="24"/>
        </w:rPr>
        <w:t xml:space="preserve"> – </w:t>
      </w:r>
      <w:r w:rsidRPr="006E49D3">
        <w:rPr>
          <w:rFonts w:ascii="Times New Roman" w:hAnsi="Times New Roman" w:cs="Times New Roman"/>
          <w:i/>
          <w:iCs/>
          <w:sz w:val="24"/>
          <w:szCs w:val="24"/>
        </w:rPr>
        <w:t>Global Histories, Local Designs</w:t>
      </w:r>
    </w:p>
    <w:p w14:paraId="340EA68A" w14:textId="067C64A1" w:rsidR="00260C7E" w:rsidRPr="00260C7E" w:rsidRDefault="00260C7E" w:rsidP="003C6962">
      <w:pPr>
        <w:rPr>
          <w:rFonts w:ascii="Times New Roman" w:hAnsi="Times New Roman" w:cs="Times New Roman"/>
          <w:sz w:val="24"/>
          <w:szCs w:val="24"/>
        </w:rPr>
      </w:pPr>
      <w:r w:rsidRPr="00260C7E">
        <w:rPr>
          <w:rFonts w:ascii="Times New Roman" w:hAnsi="Times New Roman" w:cs="Times New Roman"/>
          <w:sz w:val="24"/>
          <w:szCs w:val="24"/>
        </w:rPr>
        <w:t>Qui</w:t>
      </w:r>
      <w:r>
        <w:rPr>
          <w:rFonts w:ascii="Times New Roman" w:hAnsi="Times New Roman" w:cs="Times New Roman"/>
          <w:sz w:val="24"/>
          <w:szCs w:val="24"/>
        </w:rPr>
        <w:t>jano – “Coloniality of power</w:t>
      </w:r>
      <w:r w:rsidR="006E49D3">
        <w:rPr>
          <w:rFonts w:ascii="Times New Roman" w:hAnsi="Times New Roman" w:cs="Times New Roman"/>
          <w:sz w:val="24"/>
          <w:szCs w:val="24"/>
        </w:rPr>
        <w:t xml:space="preserve"> and Eurocentrism in Latin America</w:t>
      </w:r>
      <w:r>
        <w:rPr>
          <w:rFonts w:ascii="Times New Roman" w:hAnsi="Times New Roman" w:cs="Times New Roman"/>
          <w:sz w:val="24"/>
          <w:szCs w:val="24"/>
        </w:rPr>
        <w:t>”</w:t>
      </w:r>
    </w:p>
    <w:p w14:paraId="3ECEFE53" w14:textId="7EF7A373" w:rsidR="003C6962" w:rsidRPr="006E49D3" w:rsidRDefault="006E49D3" w:rsidP="003C6962">
      <w:pPr>
        <w:rPr>
          <w:rFonts w:ascii="Times New Roman" w:hAnsi="Times New Roman" w:cs="Times New Roman"/>
          <w:b/>
          <w:bCs/>
          <w:sz w:val="24"/>
          <w:szCs w:val="24"/>
        </w:rPr>
      </w:pPr>
      <w:r>
        <w:rPr>
          <w:rFonts w:ascii="Times New Roman" w:hAnsi="Times New Roman" w:cs="Times New Roman"/>
          <w:b/>
          <w:bCs/>
          <w:sz w:val="24"/>
          <w:szCs w:val="24"/>
        </w:rPr>
        <w:t>Africana Thought and Decolonization</w:t>
      </w:r>
    </w:p>
    <w:p w14:paraId="49E3E8ED" w14:textId="574E21B5" w:rsidR="00DB5C54" w:rsidRDefault="00DB5C54" w:rsidP="00DB5C54">
      <w:pPr>
        <w:rPr>
          <w:rFonts w:ascii="Times New Roman" w:hAnsi="Times New Roman" w:cs="Times New Roman"/>
          <w:i/>
          <w:iCs/>
          <w:sz w:val="24"/>
          <w:szCs w:val="24"/>
        </w:rPr>
      </w:pPr>
      <w:r>
        <w:rPr>
          <w:rFonts w:ascii="Times New Roman" w:hAnsi="Times New Roman" w:cs="Times New Roman"/>
          <w:sz w:val="24"/>
          <w:szCs w:val="24"/>
        </w:rPr>
        <w:lastRenderedPageBreak/>
        <w:t xml:space="preserve">Fanon (2008) – </w:t>
      </w:r>
      <w:r>
        <w:rPr>
          <w:rFonts w:ascii="Times New Roman" w:hAnsi="Times New Roman" w:cs="Times New Roman"/>
          <w:i/>
          <w:iCs/>
          <w:sz w:val="24"/>
          <w:szCs w:val="24"/>
        </w:rPr>
        <w:t>Black Skin White Masks</w:t>
      </w:r>
    </w:p>
    <w:p w14:paraId="3CAF3B90" w14:textId="654692EF" w:rsidR="00DB5C54" w:rsidRDefault="00DB5C54" w:rsidP="00DB5C54">
      <w:pPr>
        <w:rPr>
          <w:rFonts w:ascii="Times New Roman" w:hAnsi="Times New Roman" w:cs="Times New Roman"/>
          <w:i/>
          <w:iCs/>
          <w:sz w:val="24"/>
          <w:szCs w:val="24"/>
        </w:rPr>
      </w:pPr>
      <w:r>
        <w:rPr>
          <w:rFonts w:ascii="Times New Roman" w:hAnsi="Times New Roman" w:cs="Times New Roman"/>
          <w:sz w:val="24"/>
          <w:szCs w:val="24"/>
        </w:rPr>
        <w:t xml:space="preserve">Gordon (2020) – </w:t>
      </w:r>
      <w:r>
        <w:rPr>
          <w:rFonts w:ascii="Times New Roman" w:hAnsi="Times New Roman" w:cs="Times New Roman"/>
          <w:i/>
          <w:iCs/>
          <w:sz w:val="24"/>
          <w:szCs w:val="24"/>
        </w:rPr>
        <w:t>Freedom, Justice, and Decolonization</w:t>
      </w:r>
    </w:p>
    <w:p w14:paraId="15AC719C" w14:textId="0533B9A5" w:rsidR="008A7A81" w:rsidRDefault="008A7A81">
      <w:pPr>
        <w:rPr>
          <w:rFonts w:ascii="Times New Roman" w:hAnsi="Times New Roman" w:cs="Times New Roman"/>
          <w:b/>
          <w:bCs/>
          <w:sz w:val="24"/>
          <w:szCs w:val="24"/>
        </w:rPr>
      </w:pPr>
      <w:r>
        <w:rPr>
          <w:rFonts w:ascii="Times New Roman" w:hAnsi="Times New Roman" w:cs="Times New Roman"/>
          <w:b/>
          <w:bCs/>
          <w:sz w:val="24"/>
          <w:szCs w:val="24"/>
        </w:rPr>
        <w:t>Decolonization, Education, and “the Child”</w:t>
      </w:r>
    </w:p>
    <w:p w14:paraId="5ACC1598" w14:textId="0F64495C" w:rsidR="008A7A81" w:rsidRDefault="008A7A81">
      <w:pPr>
        <w:rPr>
          <w:rFonts w:ascii="Times New Roman" w:hAnsi="Times New Roman" w:cs="Times New Roman"/>
          <w:i/>
          <w:iCs/>
          <w:sz w:val="24"/>
          <w:szCs w:val="24"/>
        </w:rPr>
      </w:pPr>
      <w:r>
        <w:rPr>
          <w:rFonts w:ascii="Times New Roman" w:hAnsi="Times New Roman" w:cs="Times New Roman"/>
          <w:sz w:val="24"/>
          <w:szCs w:val="24"/>
        </w:rPr>
        <w:t xml:space="preserve">Burman (2018) – </w:t>
      </w:r>
      <w:r>
        <w:rPr>
          <w:rFonts w:ascii="Times New Roman" w:hAnsi="Times New Roman" w:cs="Times New Roman"/>
          <w:i/>
          <w:iCs/>
          <w:sz w:val="24"/>
          <w:szCs w:val="24"/>
        </w:rPr>
        <w:t>Fanon, Education, Action: Child as Method</w:t>
      </w:r>
    </w:p>
    <w:p w14:paraId="155F0366" w14:textId="1FA3CE79" w:rsidR="008A7A81" w:rsidRDefault="008A7A81">
      <w:pPr>
        <w:rPr>
          <w:rFonts w:ascii="Times New Roman" w:hAnsi="Times New Roman" w:cs="Times New Roman"/>
          <w:sz w:val="24"/>
          <w:szCs w:val="24"/>
        </w:rPr>
      </w:pPr>
      <w:r>
        <w:rPr>
          <w:rFonts w:ascii="Times New Roman" w:hAnsi="Times New Roman" w:cs="Times New Roman"/>
          <w:sz w:val="24"/>
          <w:szCs w:val="24"/>
        </w:rPr>
        <w:t>Nxumalo &amp; Cedillo (2017) – “</w:t>
      </w:r>
      <w:r w:rsidRPr="008A7A81">
        <w:rPr>
          <w:rFonts w:ascii="Times New Roman" w:hAnsi="Times New Roman" w:cs="Times New Roman"/>
          <w:sz w:val="24"/>
          <w:szCs w:val="24"/>
        </w:rPr>
        <w:t>Decolonizing Place in Early Childhood Studies</w:t>
      </w:r>
      <w:r>
        <w:rPr>
          <w:rFonts w:ascii="Times New Roman" w:hAnsi="Times New Roman" w:cs="Times New Roman"/>
          <w:sz w:val="24"/>
          <w:szCs w:val="24"/>
        </w:rPr>
        <w:t>”</w:t>
      </w:r>
    </w:p>
    <w:p w14:paraId="6A34B326" w14:textId="39A64495" w:rsidR="008A7A81" w:rsidRDefault="008A7A81">
      <w:pPr>
        <w:rPr>
          <w:rFonts w:ascii="Times New Roman" w:hAnsi="Times New Roman" w:cs="Times New Roman"/>
          <w:sz w:val="24"/>
          <w:szCs w:val="24"/>
        </w:rPr>
      </w:pPr>
      <w:r>
        <w:rPr>
          <w:rFonts w:ascii="Times New Roman" w:hAnsi="Times New Roman" w:cs="Times New Roman"/>
          <w:sz w:val="24"/>
          <w:szCs w:val="24"/>
        </w:rPr>
        <w:t xml:space="preserve">Flores &amp; Rosa, (2015) – </w:t>
      </w:r>
      <w:r w:rsidRPr="008A7A81">
        <w:rPr>
          <w:rFonts w:ascii="Times New Roman" w:hAnsi="Times New Roman" w:cs="Times New Roman"/>
          <w:sz w:val="24"/>
          <w:szCs w:val="24"/>
        </w:rPr>
        <w:t>“</w:t>
      </w:r>
      <w:r w:rsidRPr="008A7A81">
        <w:rPr>
          <w:rFonts w:ascii="Times New Roman" w:hAnsi="Times New Roman" w:cs="Times New Roman"/>
          <w:sz w:val="24"/>
          <w:szCs w:val="24"/>
        </w:rPr>
        <w:t xml:space="preserve">Undoing Appropriateness: </w:t>
      </w:r>
      <w:proofErr w:type="spellStart"/>
      <w:r w:rsidRPr="008A7A81">
        <w:rPr>
          <w:rFonts w:ascii="Times New Roman" w:hAnsi="Times New Roman" w:cs="Times New Roman"/>
          <w:sz w:val="24"/>
          <w:szCs w:val="24"/>
        </w:rPr>
        <w:t>Raciolinguistic</w:t>
      </w:r>
      <w:proofErr w:type="spellEnd"/>
      <w:r w:rsidRPr="008A7A81">
        <w:rPr>
          <w:rFonts w:ascii="Times New Roman" w:hAnsi="Times New Roman" w:cs="Times New Roman"/>
          <w:sz w:val="24"/>
          <w:szCs w:val="24"/>
        </w:rPr>
        <w:t xml:space="preserve"> Ideologies and Language Diversity in Education</w:t>
      </w:r>
      <w:r w:rsidRPr="008A7A81">
        <w:rPr>
          <w:rFonts w:ascii="Times New Roman" w:hAnsi="Times New Roman" w:cs="Times New Roman"/>
          <w:sz w:val="24"/>
          <w:szCs w:val="24"/>
        </w:rPr>
        <w:t>”</w:t>
      </w:r>
    </w:p>
    <w:p w14:paraId="3AA1C9C4" w14:textId="000FC696" w:rsidR="008A7A81" w:rsidRDefault="008A7A81">
      <w:pPr>
        <w:rPr>
          <w:rFonts w:ascii="Times New Roman" w:hAnsi="Times New Roman" w:cs="Times New Roman"/>
          <w:sz w:val="24"/>
          <w:szCs w:val="24"/>
        </w:rPr>
      </w:pPr>
      <w:proofErr w:type="spellStart"/>
      <w:r>
        <w:rPr>
          <w:rFonts w:ascii="Times New Roman" w:hAnsi="Times New Roman" w:cs="Times New Roman"/>
          <w:sz w:val="24"/>
          <w:szCs w:val="24"/>
        </w:rPr>
        <w:t>Millei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Silova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Piattoeva</w:t>
      </w:r>
      <w:proofErr w:type="spellEnd"/>
      <w:r>
        <w:rPr>
          <w:rFonts w:ascii="Times New Roman" w:hAnsi="Times New Roman" w:cs="Times New Roman"/>
          <w:sz w:val="24"/>
          <w:szCs w:val="24"/>
        </w:rPr>
        <w:t xml:space="preserve">, (2018) </w:t>
      </w:r>
      <w:r w:rsidR="00EA203E">
        <w:rPr>
          <w:rFonts w:ascii="Times New Roman" w:hAnsi="Times New Roman" w:cs="Times New Roman"/>
          <w:sz w:val="24"/>
          <w:szCs w:val="24"/>
        </w:rPr>
        <w:t>–</w:t>
      </w:r>
      <w:r>
        <w:rPr>
          <w:rFonts w:ascii="Times New Roman" w:hAnsi="Times New Roman" w:cs="Times New Roman"/>
          <w:sz w:val="24"/>
          <w:szCs w:val="24"/>
        </w:rPr>
        <w:t xml:space="preserve"> </w:t>
      </w:r>
      <w:r w:rsidR="00EA203E">
        <w:rPr>
          <w:rFonts w:ascii="Times New Roman" w:hAnsi="Times New Roman" w:cs="Times New Roman"/>
          <w:sz w:val="24"/>
          <w:szCs w:val="24"/>
        </w:rPr>
        <w:t>“Toward Decolonizing Childhood and Knowledge Production”</w:t>
      </w:r>
    </w:p>
    <w:p w14:paraId="78420749" w14:textId="5C78FBC5" w:rsidR="00EA203E" w:rsidRPr="008A7A81" w:rsidRDefault="00EA203E">
      <w:pPr>
        <w:rPr>
          <w:rFonts w:ascii="Times New Roman" w:hAnsi="Times New Roman" w:cs="Times New Roman"/>
          <w:i/>
          <w:iCs/>
          <w:sz w:val="24"/>
          <w:szCs w:val="24"/>
        </w:rPr>
      </w:pPr>
      <w:r>
        <w:rPr>
          <w:rFonts w:ascii="Times New Roman" w:hAnsi="Times New Roman" w:cs="Times New Roman"/>
          <w:sz w:val="24"/>
          <w:szCs w:val="24"/>
        </w:rPr>
        <w:t xml:space="preserve">Diaz Soto &amp; </w:t>
      </w:r>
      <w:proofErr w:type="spellStart"/>
      <w:r>
        <w:rPr>
          <w:rFonts w:ascii="Times New Roman" w:hAnsi="Times New Roman" w:cs="Times New Roman"/>
          <w:sz w:val="24"/>
          <w:szCs w:val="24"/>
        </w:rPr>
        <w:t>Swadener</w:t>
      </w:r>
      <w:proofErr w:type="spellEnd"/>
      <w:r>
        <w:rPr>
          <w:rFonts w:ascii="Times New Roman" w:hAnsi="Times New Roman" w:cs="Times New Roman"/>
          <w:sz w:val="24"/>
          <w:szCs w:val="24"/>
        </w:rPr>
        <w:t>, (2002) – “Toward Liberatory Early Childhood Theory, Research, and Praxis: decolonizing a field”</w:t>
      </w:r>
    </w:p>
    <w:p w14:paraId="616B5470" w14:textId="77777777" w:rsidR="00EA203E" w:rsidRDefault="00EA203E" w:rsidP="00EA203E">
      <w:pPr>
        <w:tabs>
          <w:tab w:val="left" w:pos="1530"/>
        </w:tabs>
        <w:rPr>
          <w:rFonts w:ascii="Times New Roman" w:eastAsia="Times New Roman" w:hAnsi="Times New Roman" w:cs="Times New Roman"/>
          <w:sz w:val="24"/>
          <w:szCs w:val="24"/>
          <w:u w:val="single"/>
        </w:rPr>
      </w:pPr>
    </w:p>
    <w:p w14:paraId="30F6FE6F" w14:textId="6D93313D" w:rsidR="00EA203E" w:rsidRPr="00EA203E" w:rsidRDefault="00EA203E" w:rsidP="00EA203E">
      <w:pPr>
        <w:tabs>
          <w:tab w:val="left" w:pos="1530"/>
        </w:tabs>
        <w:rPr>
          <w:rFonts w:ascii="Times New Roman" w:hAnsi="Times New Roman" w:cs="Times New Roman"/>
          <w:b/>
          <w:bCs/>
          <w:i/>
          <w:iCs/>
          <w:sz w:val="24"/>
          <w:szCs w:val="24"/>
          <w:u w:val="single"/>
          <w:lang w:val="en"/>
        </w:rPr>
      </w:pPr>
      <w:r w:rsidRPr="00EA203E">
        <w:rPr>
          <w:rFonts w:ascii="Times New Roman" w:eastAsia="Times New Roman" w:hAnsi="Times New Roman" w:cs="Times New Roman"/>
          <w:b/>
          <w:bCs/>
          <w:i/>
          <w:iCs/>
          <w:sz w:val="24"/>
          <w:szCs w:val="24"/>
          <w:u w:val="single"/>
        </w:rPr>
        <w:t>Relational responsibilities:</w:t>
      </w:r>
    </w:p>
    <w:p w14:paraId="0E8BAE29" w14:textId="77777777" w:rsidR="00EA203E" w:rsidRDefault="00EA203E" w:rsidP="00EA203E">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collective responsibilities are grounded in our interdependent relationships and are expressed through our active listening to one another, our honest and collective challenging of ideas, and an unwavering dedication to learning. We will undertake relational praxes of:</w:t>
      </w:r>
    </w:p>
    <w:p w14:paraId="1FA51976" w14:textId="77777777" w:rsidR="00EA203E" w:rsidRDefault="00EA203E" w:rsidP="00EA203E">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and hearing</w:t>
      </w:r>
    </w:p>
    <w:p w14:paraId="1BCE910C" w14:textId="77777777" w:rsidR="00EA203E" w:rsidRDefault="00EA203E" w:rsidP="00EA203E">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Studying deeply, preparing for one another, and contributing meaningfully</w:t>
      </w:r>
    </w:p>
    <w:p w14:paraId="5E9F3048" w14:textId="77777777" w:rsidR="00EA203E" w:rsidRDefault="00EA203E" w:rsidP="00EA203E">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Engaging generously: </w:t>
      </w:r>
    </w:p>
    <w:p w14:paraId="1C0C1978" w14:textId="77777777" w:rsidR="00EA203E" w:rsidRDefault="00EA203E" w:rsidP="00EA203E">
      <w:pPr>
        <w:numPr>
          <w:ilvl w:val="1"/>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generating possibilities</w:t>
      </w:r>
    </w:p>
    <w:p w14:paraId="1739C5DF" w14:textId="77777777" w:rsidR="00EA203E" w:rsidRDefault="00EA203E" w:rsidP="00EA203E">
      <w:pPr>
        <w:numPr>
          <w:ilvl w:val="1"/>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seeking out connection, deepening of understanding, and complexity over critique</w:t>
      </w:r>
    </w:p>
    <w:p w14:paraId="1E68B51C" w14:textId="77777777" w:rsidR="00EA203E" w:rsidRDefault="00EA203E" w:rsidP="00EA203E">
      <w:pPr>
        <w:rPr>
          <w:rFonts w:ascii="Times New Roman" w:eastAsia="Times New Roman" w:hAnsi="Times New Roman" w:cs="Times New Roman"/>
          <w:color w:val="9900FF"/>
          <w:sz w:val="24"/>
          <w:szCs w:val="24"/>
        </w:rPr>
      </w:pPr>
    </w:p>
    <w:p w14:paraId="31F8B662" w14:textId="77777777" w:rsidR="00EA203E" w:rsidRDefault="00EA203E" w:rsidP="00EA203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Some guidelines for our shared </w:t>
      </w:r>
      <w:proofErr w:type="spellStart"/>
      <w:r>
        <w:rPr>
          <w:rFonts w:ascii="Times New Roman" w:eastAsia="Times New Roman" w:hAnsi="Times New Roman" w:cs="Times New Roman"/>
          <w:b/>
          <w:sz w:val="24"/>
          <w:szCs w:val="24"/>
        </w:rPr>
        <w:t>interrelational</w:t>
      </w:r>
      <w:proofErr w:type="spellEnd"/>
      <w:r>
        <w:rPr>
          <w:rFonts w:ascii="Times New Roman" w:eastAsia="Times New Roman" w:hAnsi="Times New Roman" w:cs="Times New Roman"/>
          <w:b/>
          <w:sz w:val="24"/>
          <w:szCs w:val="24"/>
        </w:rPr>
        <w:t xml:space="preserve"> engagement praxes</w:t>
      </w:r>
      <w:r>
        <w:rPr>
          <w:rFonts w:ascii="Times New Roman" w:eastAsia="Times New Roman" w:hAnsi="Times New Roman" w:cs="Times New Roman"/>
          <w:sz w:val="24"/>
          <w:szCs w:val="24"/>
        </w:rPr>
        <w:t>:</w:t>
      </w:r>
    </w:p>
    <w:p w14:paraId="2D79A4D2" w14:textId="77777777" w:rsidR="00EA203E" w:rsidRDefault="00EA203E" w:rsidP="00EA203E">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Practicing New Social Relations, Even in Conflict</w:t>
        </w:r>
      </w:hyperlink>
      <w:r>
        <w:rPr>
          <w:rFonts w:ascii="Times New Roman" w:eastAsia="Times New Roman" w:hAnsi="Times New Roman" w:cs="Times New Roman"/>
          <w:sz w:val="24"/>
          <w:szCs w:val="24"/>
        </w:rPr>
        <w:t xml:space="preserve"> Dean Spade</w:t>
      </w:r>
    </w:p>
    <w:p w14:paraId="2EB4D040" w14:textId="77777777" w:rsidR="00EA203E" w:rsidRDefault="00EA203E" w:rsidP="00EA203E">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How to give a good apology, Part 1: the four parts of accountability</w:t>
        </w:r>
      </w:hyperlink>
      <w:r>
        <w:rPr>
          <w:rFonts w:ascii="Times New Roman" w:eastAsia="Times New Roman" w:hAnsi="Times New Roman" w:cs="Times New Roman"/>
          <w:sz w:val="24"/>
          <w:szCs w:val="24"/>
        </w:rPr>
        <w:t xml:space="preserve"> Mia Mingus </w:t>
      </w:r>
    </w:p>
    <w:p w14:paraId="69A5F76C" w14:textId="77777777" w:rsidR="00EA203E" w:rsidRDefault="00EA203E" w:rsidP="00EA203E">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Political Education in a Time of Rebellion</w:t>
        </w:r>
      </w:hyperlink>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Rachel Herzing</w:t>
      </w:r>
    </w:p>
    <w:p w14:paraId="1F11D1B6" w14:textId="77777777" w:rsidR="00EA203E" w:rsidRDefault="00EA203E" w:rsidP="00EA203E">
      <w:pPr>
        <w:rPr>
          <w:rFonts w:ascii="Times New Roman" w:eastAsia="Times New Roman" w:hAnsi="Times New Roman" w:cs="Times New Roman"/>
          <w:sz w:val="24"/>
          <w:szCs w:val="24"/>
        </w:rPr>
      </w:pPr>
      <w:r>
        <w:rPr>
          <w:noProof/>
        </w:rPr>
        <w:pict w14:anchorId="37986558">
          <v:rect id="_x0000_i1025" alt="" style="width:468pt;height:.05pt;mso-width-percent:0;mso-height-percent:0;mso-width-percent:0;mso-height-percent:0" o:hralign="center" o:hrstd="t" o:hr="t" fillcolor="#a0a0a0" stroked="f"/>
        </w:pict>
      </w:r>
    </w:p>
    <w:p w14:paraId="09A7070A" w14:textId="77777777" w:rsidR="00EA203E" w:rsidRDefault="00EA203E" w:rsidP="00EA203E">
      <w:pPr>
        <w:rPr>
          <w:rFonts w:ascii="Times New Roman" w:eastAsia="Times New Roman" w:hAnsi="Times New Roman" w:cs="Times New Roman"/>
          <w:sz w:val="24"/>
          <w:szCs w:val="24"/>
        </w:rPr>
      </w:pPr>
    </w:p>
    <w:p w14:paraId="67C5CEE4" w14:textId="77777777" w:rsidR="00EA203E" w:rsidRDefault="00EA203E" w:rsidP="00EA2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Responsibilities </w:t>
      </w:r>
    </w:p>
    <w:p w14:paraId="2A9EECE0" w14:textId="77777777" w:rsidR="00EA203E" w:rsidRDefault="00EA203E" w:rsidP="00EA203E">
      <w:pPr>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your responsibility to co-create a rigorous and productive learning environment in which you challenge one another’s ideas in a scholarly manner, but never insult or disparage one another.</w:t>
      </w:r>
    </w:p>
    <w:p w14:paraId="2DF2245E" w14:textId="77777777" w:rsidR="00EA203E" w:rsidRDefault="00EA203E" w:rsidP="00EA203E">
      <w:pPr>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your responsibility to engage the ideas, discussions, and materials provided in this class in ways that </w:t>
      </w:r>
      <w:r>
        <w:rPr>
          <w:rFonts w:ascii="Times New Roman" w:eastAsia="Times New Roman" w:hAnsi="Times New Roman" w:cs="Times New Roman"/>
          <w:i/>
          <w:sz w:val="24"/>
          <w:szCs w:val="24"/>
        </w:rPr>
        <w:t>enhance and strengthen your own interests</w:t>
      </w:r>
      <w:r>
        <w:rPr>
          <w:rFonts w:ascii="Times New Roman" w:eastAsia="Times New Roman" w:hAnsi="Times New Roman" w:cs="Times New Roman"/>
          <w:sz w:val="24"/>
          <w:szCs w:val="24"/>
        </w:rPr>
        <w:t>.</w:t>
      </w:r>
    </w:p>
    <w:p w14:paraId="3D69FF91" w14:textId="77777777" w:rsidR="00EA203E" w:rsidRDefault="00EA203E" w:rsidP="00EA203E">
      <w:pPr>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responsibility to engage with difficult readings and ideas as we undertake the study of repressive systems and oppressive institutions. Not all members of the class will respond to the readings in the same manner, and some readings will upset some students more than others.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this, there is no clear way to warn students in advance. Moreover, we as a community do not want to unintentionally engage in censorship (</w:t>
      </w:r>
      <w:hyperlink r:id="rId8">
        <w:r>
          <w:rPr>
            <w:rFonts w:ascii="Times New Roman" w:eastAsia="Times New Roman" w:hAnsi="Times New Roman" w:cs="Times New Roman"/>
            <w:color w:val="1155CC"/>
            <w:sz w:val="24"/>
            <w:szCs w:val="24"/>
            <w:u w:val="single"/>
          </w:rPr>
          <w:t>http://signsjournal.org/currents-trigger-warnings/halberstam/</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https://www.salon.com/2014/05/20/no_trigger_warnings_in_my_class_why_you_won%E2%80%99t_find_them_on_my_syllabi/</w:t>
        </w:r>
      </w:hyperlink>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What we can do as a community is:</w:t>
      </w:r>
    </w:p>
    <w:p w14:paraId="267E3A37" w14:textId="77777777" w:rsidR="00EA203E" w:rsidRDefault="00EA203E" w:rsidP="00EA203E">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affirm that affective responses to readings and discussions are part of a just intellectual project</w:t>
      </w:r>
    </w:p>
    <w:p w14:paraId="538C0FF8" w14:textId="77777777" w:rsidR="00EA203E" w:rsidRDefault="00EA203E" w:rsidP="00EA203E">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in with one another in ways that honor our differences but affirm our membership in a community of conscience</w:t>
      </w:r>
    </w:p>
    <w:p w14:paraId="3F4D7B94" w14:textId="77777777" w:rsidR="00EA203E" w:rsidRDefault="00EA203E" w:rsidP="00EA203E">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 </w:t>
      </w:r>
      <w:proofErr w:type="gramStart"/>
      <w:r>
        <w:rPr>
          <w:rFonts w:ascii="Times New Roman" w:eastAsia="Times New Roman" w:hAnsi="Times New Roman" w:cs="Times New Roman"/>
          <w:sz w:val="24"/>
          <w:szCs w:val="24"/>
        </w:rPr>
        <w:t>ourselves</w:t>
      </w:r>
      <w:proofErr w:type="gramEnd"/>
      <w:r>
        <w:rPr>
          <w:rFonts w:ascii="Times New Roman" w:eastAsia="Times New Roman" w:hAnsi="Times New Roman" w:cs="Times New Roman"/>
          <w:sz w:val="24"/>
          <w:szCs w:val="24"/>
        </w:rPr>
        <w:t xml:space="preserve"> when need be and without explanation in order to take necessary space</w:t>
      </w:r>
    </w:p>
    <w:p w14:paraId="1A8AB87B" w14:textId="77777777" w:rsidR="00EA203E" w:rsidRDefault="00EA203E" w:rsidP="00EA203E">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 carefully and attentively to one another’s experiences and ideas, recognizing those as gifts to the community</w:t>
      </w:r>
    </w:p>
    <w:p w14:paraId="56D406BF" w14:textId="77777777" w:rsidR="00EA203E" w:rsidRDefault="00EA203E" w:rsidP="00EA203E">
      <w:pPr>
        <w:numPr>
          <w:ilvl w:val="1"/>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proofErr w:type="gramStart"/>
      <w:r>
        <w:rPr>
          <w:rFonts w:ascii="Times New Roman" w:eastAsia="Times New Roman" w:hAnsi="Times New Roman" w:cs="Times New Roman"/>
          <w:sz w:val="24"/>
          <w:szCs w:val="24"/>
        </w:rPr>
        <w:t>culturally-specific</w:t>
      </w:r>
      <w:proofErr w:type="gramEnd"/>
      <w:r>
        <w:rPr>
          <w:rFonts w:ascii="Times New Roman" w:eastAsia="Times New Roman" w:hAnsi="Times New Roman" w:cs="Times New Roman"/>
          <w:sz w:val="24"/>
          <w:szCs w:val="24"/>
        </w:rPr>
        <w:t xml:space="preserve"> requests as soon as/if you realize you need to</w:t>
      </w:r>
    </w:p>
    <w:p w14:paraId="1F13B2D8" w14:textId="77777777" w:rsidR="00EA203E" w:rsidRDefault="00EA203E" w:rsidP="00EA203E">
      <w:pPr>
        <w:numPr>
          <w:ilvl w:val="0"/>
          <w:numId w:val="5"/>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u w:val="single"/>
        </w:rPr>
        <w:t>Pitt required syllabus statement</w:t>
      </w:r>
      <w:r>
        <w:rPr>
          <w:rFonts w:ascii="Times New Roman" w:eastAsia="Times New Roman" w:hAnsi="Times New Roman" w:cs="Times New Roman"/>
          <w:color w:val="2B2B2B"/>
          <w:sz w:val="24"/>
          <w:szCs w:val="24"/>
        </w:rPr>
        <w:t xml:space="preserve">: “Students in this course will be expected to comply with the </w:t>
      </w:r>
      <w:hyperlink r:id="rId10">
        <w:r>
          <w:rPr>
            <w:rFonts w:ascii="Times New Roman" w:eastAsia="Times New Roman" w:hAnsi="Times New Roman" w:cs="Times New Roman"/>
            <w:color w:val="2E62FF"/>
            <w:sz w:val="24"/>
            <w:szCs w:val="24"/>
          </w:rPr>
          <w:t>University of Pittsburgh’s Policy on Academic Integrity</w:t>
        </w:r>
      </w:hyperlink>
      <w:r>
        <w:rPr>
          <w:rFonts w:ascii="Times New Roman" w:eastAsia="Times New Roman" w:hAnsi="Times New Roman" w:cs="Times New Roman"/>
          <w:color w:val="2B2B2B"/>
          <w:sz w:val="24"/>
          <w:szCs w:val="24"/>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1C0B9B2" w14:textId="77777777" w:rsidR="00EA203E" w:rsidRPr="00811F16" w:rsidRDefault="00EA203E" w:rsidP="00EA203E">
      <w:pPr>
        <w:numPr>
          <w:ilvl w:val="1"/>
          <w:numId w:val="5"/>
        </w:num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 xml:space="preserve">“To learn more about Academic Integrity, visit the </w:t>
      </w:r>
      <w:hyperlink r:id="rId11">
        <w:r>
          <w:rPr>
            <w:rFonts w:ascii="Times New Roman" w:eastAsia="Times New Roman" w:hAnsi="Times New Roman" w:cs="Times New Roman"/>
            <w:color w:val="2E62FF"/>
            <w:sz w:val="24"/>
            <w:szCs w:val="24"/>
          </w:rPr>
          <w:t>Academic Integrity Guide</w:t>
        </w:r>
      </w:hyperlink>
      <w:r>
        <w:rPr>
          <w:rFonts w:ascii="Times New Roman" w:eastAsia="Times New Roman" w:hAnsi="Times New Roman" w:cs="Times New Roman"/>
          <w:color w:val="2B2B2B"/>
          <w:sz w:val="24"/>
          <w:szCs w:val="24"/>
        </w:rPr>
        <w:t xml:space="preserve"> for an overview of the topic. For hands- on practice, complete the </w:t>
      </w:r>
      <w:hyperlink r:id="rId12">
        <w:r>
          <w:rPr>
            <w:rFonts w:ascii="Times New Roman" w:eastAsia="Times New Roman" w:hAnsi="Times New Roman" w:cs="Times New Roman"/>
            <w:color w:val="2E62FF"/>
            <w:sz w:val="24"/>
            <w:szCs w:val="24"/>
          </w:rPr>
          <w:t>Understanding and Avoiding Plagiarism tutorial</w:t>
        </w:r>
      </w:hyperlink>
      <w:r>
        <w:rPr>
          <w:rFonts w:ascii="Times New Roman" w:eastAsia="Times New Roman" w:hAnsi="Times New Roman" w:cs="Times New Roman"/>
          <w:color w:val="2B2B2B"/>
          <w:sz w:val="24"/>
          <w:szCs w:val="24"/>
        </w:rPr>
        <w:t>.</w:t>
      </w:r>
      <w:r>
        <w:rPr>
          <w:rFonts w:ascii="Times New Roman" w:eastAsia="Times New Roman" w:hAnsi="Times New Roman" w:cs="Times New Roman"/>
          <w:sz w:val="24"/>
          <w:szCs w:val="24"/>
        </w:rPr>
        <w:t>”</w:t>
      </w:r>
    </w:p>
    <w:p w14:paraId="69A0C877" w14:textId="77777777" w:rsidR="00EA203E" w:rsidRDefault="00EA203E" w:rsidP="00EA203E">
      <w:pPr>
        <w:rPr>
          <w:rFonts w:ascii="Times New Roman" w:eastAsia="Times New Roman" w:hAnsi="Times New Roman" w:cs="Times New Roman"/>
          <w:b/>
          <w:sz w:val="24"/>
          <w:szCs w:val="24"/>
        </w:rPr>
      </w:pPr>
      <w:r>
        <w:rPr>
          <w:noProof/>
        </w:rPr>
        <w:pict w14:anchorId="6C74B51C">
          <v:rect id="_x0000_i1026" alt="" style="width:468pt;height:.05pt;mso-width-percent:0;mso-height-percent:0;mso-width-percent:0;mso-height-percent:0" o:hralign="center" o:hrstd="t" o:hr="t" fillcolor="#a0a0a0" stroked="f"/>
        </w:pict>
      </w:r>
    </w:p>
    <w:p w14:paraId="58375F29" w14:textId="77777777" w:rsidR="00EA203E" w:rsidRDefault="00EA203E" w:rsidP="00EA203E">
      <w:pPr>
        <w:rPr>
          <w:rFonts w:ascii="Times New Roman" w:eastAsia="Times New Roman" w:hAnsi="Times New Roman" w:cs="Times New Roman"/>
          <w:b/>
          <w:sz w:val="24"/>
          <w:szCs w:val="24"/>
        </w:rPr>
      </w:pPr>
    </w:p>
    <w:p w14:paraId="5F4A913E" w14:textId="77777777" w:rsidR="00EA203E" w:rsidRDefault="00EA203E" w:rsidP="00EA203E">
      <w:pPr>
        <w:rPr>
          <w:rFonts w:ascii="Times New Roman" w:eastAsia="Times New Roman" w:hAnsi="Times New Roman" w:cs="Times New Roman"/>
          <w:b/>
          <w:sz w:val="24"/>
          <w:szCs w:val="24"/>
        </w:rPr>
      </w:pPr>
    </w:p>
    <w:p w14:paraId="4AB2E033" w14:textId="77777777" w:rsidR="00EA203E" w:rsidRDefault="00EA203E" w:rsidP="00EA20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and accommodations</w:t>
      </w:r>
    </w:p>
    <w:p w14:paraId="4B4FD4DA" w14:textId="77777777" w:rsidR="00EA203E" w:rsidRDefault="00EA203E" w:rsidP="00EA203E">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highlight w:val="white"/>
        </w:rPr>
        <w:t xml:space="preserve">“If you have a disability for which you are or may be requesting an accommodation, you are encouraged to contact both your instructor and </w:t>
      </w:r>
      <w:hyperlink r:id="rId13">
        <w:r>
          <w:rPr>
            <w:rFonts w:ascii="Times New Roman" w:eastAsia="Times New Roman" w:hAnsi="Times New Roman" w:cs="Times New Roman"/>
            <w:color w:val="2E62FF"/>
            <w:sz w:val="24"/>
            <w:szCs w:val="24"/>
            <w:highlight w:val="white"/>
          </w:rPr>
          <w:t>Disability Resources and Services</w:t>
        </w:r>
      </w:hyperlink>
      <w:r>
        <w:rPr>
          <w:rFonts w:ascii="Times New Roman" w:eastAsia="Times New Roman" w:hAnsi="Times New Roman" w:cs="Times New Roman"/>
          <w:color w:val="2B2B2B"/>
          <w:sz w:val="24"/>
          <w:szCs w:val="24"/>
          <w:highlight w:val="white"/>
        </w:rPr>
        <w:t xml:space="preserve"> (DRS), 140 William Pitt Union, (412) 648-7890, </w:t>
      </w:r>
      <w:r>
        <w:rPr>
          <w:rFonts w:ascii="Times New Roman" w:eastAsia="Times New Roman" w:hAnsi="Times New Roman" w:cs="Times New Roman"/>
          <w:color w:val="2E62FF"/>
          <w:sz w:val="24"/>
          <w:szCs w:val="24"/>
          <w:highlight w:val="white"/>
        </w:rPr>
        <w:t>drsrecep@pitt.edu,</w:t>
      </w:r>
      <w:r>
        <w:rPr>
          <w:rFonts w:ascii="Times New Roman" w:eastAsia="Times New Roman" w:hAnsi="Times New Roman" w:cs="Times New Roman"/>
          <w:color w:val="2B2B2B"/>
          <w:sz w:val="24"/>
          <w:szCs w:val="24"/>
          <w:highlight w:val="white"/>
        </w:rPr>
        <w:t xml:space="preserve"> (412) 228-5347 for P3 ASL users, as early as possible in the term. DRS will verify your disability and determine reasonable accommodations for this course”.</w:t>
      </w:r>
    </w:p>
    <w:p w14:paraId="50A57E3E" w14:textId="77777777" w:rsidR="00EA203E" w:rsidRDefault="00EA203E" w:rsidP="00EA203E">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let us know if you need resources or accommodations to successfully complete this course. You may also seek campus-wide support, information, and/or services:</w:t>
      </w:r>
    </w:p>
    <w:p w14:paraId="77E90290"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Disability Resources and Services: </w:t>
      </w:r>
      <w:hyperlink r:id="rId14">
        <w:r>
          <w:rPr>
            <w:rFonts w:ascii="Times New Roman" w:eastAsia="Times New Roman" w:hAnsi="Times New Roman" w:cs="Times New Roman"/>
            <w:color w:val="1155CC"/>
            <w:sz w:val="24"/>
            <w:szCs w:val="24"/>
            <w:u w:val="single"/>
          </w:rPr>
          <w:t>https://www.diversity.pitt.edu/disability-access/disability-resources-and-services</w:t>
        </w:r>
      </w:hyperlink>
      <w:r>
        <w:rPr>
          <w:rFonts w:ascii="Times New Roman" w:eastAsia="Times New Roman" w:hAnsi="Times New Roman" w:cs="Times New Roman"/>
          <w:sz w:val="24"/>
          <w:szCs w:val="24"/>
        </w:rPr>
        <w:t xml:space="preserve"> </w:t>
      </w:r>
    </w:p>
    <w:p w14:paraId="411439AF"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Accommodations: </w:t>
      </w:r>
      <w:hyperlink r:id="rId15">
        <w:r>
          <w:rPr>
            <w:rFonts w:ascii="Times New Roman" w:eastAsia="Times New Roman" w:hAnsi="Times New Roman" w:cs="Times New Roman"/>
            <w:color w:val="1155CC"/>
            <w:sz w:val="24"/>
            <w:szCs w:val="24"/>
            <w:u w:val="single"/>
          </w:rPr>
          <w:t>https://www.diversity.pitt.edu/disability-access/disability-resources-and-services/accommodations</w:t>
        </w:r>
      </w:hyperlink>
    </w:p>
    <w:p w14:paraId="3FF5D3A7"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We recognize that while institutional resources can be a useful and important support, interacting with the university can at times be experienced as an invasion of privacy or a source of distress. If you are uncomfortable interacting with the university, please feel free to communicate with the professor directly about what would be helpful to your learning and participating in the community of the course. </w:t>
      </w:r>
    </w:p>
    <w:p w14:paraId="54C588C8"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Pittsburgh Non-Discrimination Policy: </w:t>
      </w:r>
      <w:hyperlink r:id="rId16">
        <w:r>
          <w:rPr>
            <w:rFonts w:ascii="Times New Roman" w:eastAsia="Times New Roman" w:hAnsi="Times New Roman" w:cs="Times New Roman"/>
            <w:color w:val="1155CC"/>
            <w:sz w:val="24"/>
            <w:szCs w:val="24"/>
            <w:u w:val="single"/>
          </w:rPr>
          <w:t>https://www.diversity.pitt.edu/civil-rights-title-ix-compliance/policies-procedures-and-practices/notice-non-discrimination</w:t>
        </w:r>
      </w:hyperlink>
    </w:p>
    <w:p w14:paraId="391D35B3"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Pregnant and Parenting Students’ Rights and Resources:</w:t>
      </w:r>
    </w:p>
    <w:p w14:paraId="30A1F416"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https://www.diversity.pitt.edu/diverse-populations/pregnant-and-parenting-students</w:t>
        </w:r>
      </w:hyperlink>
      <w:r>
        <w:rPr>
          <w:rFonts w:ascii="Times New Roman" w:eastAsia="Times New Roman" w:hAnsi="Times New Roman" w:cs="Times New Roman"/>
          <w:sz w:val="24"/>
          <w:szCs w:val="24"/>
        </w:rPr>
        <w:t xml:space="preserve"> </w:t>
      </w:r>
    </w:p>
    <w:p w14:paraId="501DC496"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The current Pitt language appears to reflect antiquated gender binary and heteronormative frameworks. It also focuses on harassment. Should you be adopting, fostering, or otherwise significantly shifting your dependent care demands, or should you be a student whose gender is not clearly covered by the policy and is pregnant, etc., and would like accommodations, please let us know as soon as possible so we can work together to establish a fair, respectful, and supportive plan.</w:t>
      </w:r>
    </w:p>
    <w:p w14:paraId="210B8B1B"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Pitt guidelines on class attendance and observance of religious holidays:</w:t>
      </w:r>
    </w:p>
    <w:p w14:paraId="52E451C4"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w:t>
      </w:r>
      <w:proofErr w:type="gramStart"/>
      <w:r>
        <w:rPr>
          <w:rFonts w:ascii="Times New Roman" w:eastAsia="Times New Roman" w:hAnsi="Times New Roman" w:cs="Times New Roman"/>
          <w:sz w:val="24"/>
          <w:szCs w:val="24"/>
        </w:rPr>
        <w:t>first class</w:t>
      </w:r>
      <w:proofErr w:type="gramEnd"/>
      <w:r>
        <w:rPr>
          <w:rFonts w:ascii="Times New Roman" w:eastAsia="Times New Roman" w:hAnsi="Times New Roman" w:cs="Times New Roman"/>
          <w:sz w:val="24"/>
          <w:szCs w:val="24"/>
        </w:rPr>
        <w:t xml:space="preserve"> meeting to allow time for us to discuss and make fair and reasonable adjustments to the schedule and/or tasks.” </w:t>
      </w:r>
      <w:r>
        <w:rPr>
          <w:rFonts w:ascii="Times New Roman" w:eastAsia="Times New Roman" w:hAnsi="Times New Roman" w:cs="Times New Roman"/>
          <w:i/>
          <w:sz w:val="24"/>
          <w:szCs w:val="24"/>
        </w:rPr>
        <w:t>From Faculty Assembly, December 2020</w:t>
      </w:r>
    </w:p>
    <w:p w14:paraId="1C21A692"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interpret this language to apply to cultural and spiritual observances, feasts, dances, ceremonies, etc., not covered by colonial notions of religion and/or culture.</w:t>
      </w:r>
    </w:p>
    <w:p w14:paraId="51FFE4C3" w14:textId="77777777" w:rsidR="00EA203E" w:rsidRDefault="00EA203E" w:rsidP="00EA203E">
      <w:pPr>
        <w:numPr>
          <w:ilvl w:val="2"/>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notify the professor in advance of any anticipated absences related to the guidelines.</w:t>
      </w:r>
    </w:p>
    <w:p w14:paraId="60F7EFBE" w14:textId="77777777" w:rsidR="00EA203E" w:rsidRDefault="00EA203E" w:rsidP="00EA203E">
      <w:pPr>
        <w:numPr>
          <w:ilvl w:val="1"/>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 single-occupancy restroom map and information: </w:t>
      </w:r>
      <w:hyperlink r:id="rId18">
        <w:r>
          <w:rPr>
            <w:rFonts w:ascii="Times New Roman" w:eastAsia="Times New Roman" w:hAnsi="Times New Roman" w:cs="Times New Roman"/>
            <w:color w:val="1155CC"/>
            <w:sz w:val="24"/>
            <w:szCs w:val="24"/>
            <w:u w:val="single"/>
          </w:rPr>
          <w:t>https://www.studentaffairs.pitt.edu/lgbtqia/single-occupancy-restrooms/</w:t>
        </w:r>
      </w:hyperlink>
    </w:p>
    <w:p w14:paraId="22B5433D" w14:textId="77777777" w:rsidR="00EA203E" w:rsidRDefault="00EA203E" w:rsidP="00EA203E">
      <w:pPr>
        <w:rPr>
          <w:rFonts w:ascii="Times New Roman" w:eastAsia="Times New Roman" w:hAnsi="Times New Roman" w:cs="Times New Roman"/>
          <w:sz w:val="24"/>
          <w:szCs w:val="24"/>
        </w:rPr>
      </w:pPr>
    </w:p>
    <w:p w14:paraId="1EE12E43" w14:textId="77777777" w:rsidR="00EA203E" w:rsidRPr="00914407" w:rsidRDefault="00EA203E" w:rsidP="00EA203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Thanks to Sabina Vaught and Rachel Robertson for compiling these resources.</w:t>
      </w:r>
    </w:p>
    <w:p w14:paraId="3FB89589" w14:textId="77777777" w:rsidR="00EA203E" w:rsidRDefault="00EA203E" w:rsidP="00EA203E">
      <w:pPr>
        <w:rPr>
          <w:rFonts w:ascii="Times New Roman" w:eastAsia="Times New Roman" w:hAnsi="Times New Roman" w:cs="Times New Roman"/>
          <w:sz w:val="24"/>
          <w:szCs w:val="24"/>
        </w:rPr>
      </w:pPr>
      <w:r>
        <w:rPr>
          <w:noProof/>
        </w:rPr>
        <w:pict w14:anchorId="5454F2B3">
          <v:rect id="_x0000_i1027" alt="" style="width:468pt;height:.05pt;mso-width-percent:0;mso-height-percent:0;mso-width-percent:0;mso-height-percent:0" o:hralign="center" o:hrstd="t" o:hr="t" fillcolor="#a0a0a0" stroked="f"/>
        </w:pict>
      </w:r>
    </w:p>
    <w:p w14:paraId="274D7067" w14:textId="77777777" w:rsidR="00EA203E" w:rsidRDefault="00EA203E" w:rsidP="00EA203E">
      <w:pPr>
        <w:rPr>
          <w:rFonts w:ascii="Times New Roman" w:eastAsia="Times New Roman" w:hAnsi="Times New Roman" w:cs="Times New Roman"/>
          <w:sz w:val="24"/>
          <w:szCs w:val="24"/>
        </w:rPr>
      </w:pPr>
    </w:p>
    <w:p w14:paraId="60DDEBC5" w14:textId="77777777" w:rsidR="00EA203E" w:rsidRDefault="00EA203E" w:rsidP="00EA203E">
      <w:pPr>
        <w:rPr>
          <w:rFonts w:ascii="Times New Roman" w:eastAsia="Times New Roman" w:hAnsi="Times New Roman" w:cs="Times New Roman"/>
          <w:b/>
          <w:sz w:val="24"/>
          <w:szCs w:val="24"/>
        </w:rPr>
      </w:pPr>
    </w:p>
    <w:p w14:paraId="3CAAC1ED" w14:textId="77777777" w:rsidR="00EA203E" w:rsidRDefault="00EA203E" w:rsidP="00EA203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Rights and Resources*</w:t>
      </w:r>
    </w:p>
    <w:p w14:paraId="7DDE875F" w14:textId="77777777" w:rsidR="00EA203E" w:rsidRDefault="00EA203E" w:rsidP="00EA203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any of the below, if you believe your circumstances may affect your performance in the course, if you are </w:t>
      </w:r>
      <w:proofErr w:type="gramStart"/>
      <w:r>
        <w:rPr>
          <w:rFonts w:ascii="Times New Roman" w:eastAsia="Times New Roman" w:hAnsi="Times New Roman" w:cs="Times New Roman"/>
          <w:i/>
          <w:sz w:val="24"/>
          <w:szCs w:val="24"/>
        </w:rPr>
        <w:t>comfortable</w:t>
      </w:r>
      <w:proofErr w:type="gramEnd"/>
      <w:r>
        <w:rPr>
          <w:rFonts w:ascii="Times New Roman" w:eastAsia="Times New Roman" w:hAnsi="Times New Roman" w:cs="Times New Roman"/>
          <w:i/>
          <w:sz w:val="24"/>
          <w:szCs w:val="24"/>
        </w:rPr>
        <w:t xml:space="preserve"> please seek the professor´s support in securing resources. Thanks to Chris Wright, </w:t>
      </w:r>
      <w:proofErr w:type="spellStart"/>
      <w:r>
        <w:rPr>
          <w:rFonts w:ascii="Times New Roman" w:eastAsia="Times New Roman" w:hAnsi="Times New Roman" w:cs="Times New Roman"/>
          <w:i/>
          <w:sz w:val="24"/>
          <w:szCs w:val="24"/>
        </w:rPr>
        <w:t>SoE</w:t>
      </w:r>
      <w:proofErr w:type="spellEnd"/>
      <w:r>
        <w:rPr>
          <w:rFonts w:ascii="Times New Roman" w:eastAsia="Times New Roman" w:hAnsi="Times New Roman" w:cs="Times New Roman"/>
          <w:i/>
          <w:sz w:val="24"/>
          <w:szCs w:val="24"/>
        </w:rPr>
        <w:t xml:space="preserve"> doc student, for compiling these resources.</w:t>
      </w:r>
    </w:p>
    <w:p w14:paraId="5CFC4564" w14:textId="77777777" w:rsidR="00EA203E" w:rsidRDefault="00EA203E" w:rsidP="00EA203E">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is </w:t>
      </w:r>
      <w:proofErr w:type="gramStart"/>
      <w:r>
        <w:rPr>
          <w:rFonts w:ascii="Times New Roman" w:eastAsia="Times New Roman" w:hAnsi="Times New Roman" w:cs="Times New Roman"/>
          <w:sz w:val="24"/>
          <w:szCs w:val="24"/>
        </w:rPr>
        <w:t>experiencing difficulty</w:t>
      </w:r>
      <w:proofErr w:type="gramEnd"/>
      <w:r>
        <w:rPr>
          <w:rFonts w:ascii="Times New Roman" w:eastAsia="Times New Roman" w:hAnsi="Times New Roman" w:cs="Times New Roman"/>
          <w:sz w:val="24"/>
          <w:szCs w:val="24"/>
        </w:rPr>
        <w:t xml:space="preserve"> affording groceries or accessing sufficient and healthy food to eat every day, can</w:t>
      </w:r>
    </w:p>
    <w:p w14:paraId="54FEED29"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Pitt Pantry: pantry@pitt.edu</w:t>
      </w:r>
    </w:p>
    <w:p w14:paraId="52DD23F2"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the Pitt Pantry: </w:t>
      </w:r>
      <w:hyperlink r:id="rId19">
        <w:r>
          <w:rPr>
            <w:rFonts w:ascii="Times New Roman" w:eastAsia="Times New Roman" w:hAnsi="Times New Roman" w:cs="Times New Roman"/>
            <w:color w:val="1155CC"/>
            <w:sz w:val="24"/>
            <w:szCs w:val="24"/>
            <w:u w:val="single"/>
          </w:rPr>
          <w:t>https://www.studentaffairs.pitt.edu/pittserves/the-pitt-pantry/what-to-expect/</w:t>
        </w:r>
      </w:hyperlink>
    </w:p>
    <w:p w14:paraId="08B8E3E4"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the Greater Pittsburgh Community Foodbank </w:t>
      </w:r>
    </w:p>
    <w:p w14:paraId="380B67A9" w14:textId="77777777" w:rsidR="00EA203E" w:rsidRDefault="00EA203E" w:rsidP="00EA203E">
      <w:pPr>
        <w:numPr>
          <w:ilvl w:val="3"/>
          <w:numId w:val="7"/>
        </w:numPr>
        <w:spacing w:after="0" w:line="276" w:lineRule="auto"/>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https://www.pittsburghfoodbank.org/get-help/drive-up/</w:t>
        </w:r>
      </w:hyperlink>
    </w:p>
    <w:p w14:paraId="2894A353" w14:textId="77777777" w:rsidR="00EA203E" w:rsidRDefault="00EA203E" w:rsidP="00EA203E">
      <w:pPr>
        <w:numPr>
          <w:ilvl w:val="1"/>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lack of a safe and stable place to live, can find</w:t>
      </w:r>
    </w:p>
    <w:p w14:paraId="694A7454"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affordable housing assistance</w:t>
      </w:r>
    </w:p>
    <w:p w14:paraId="685D97CD" w14:textId="77777777" w:rsidR="00EA203E" w:rsidRDefault="00EA203E" w:rsidP="00EA203E">
      <w:pPr>
        <w:numPr>
          <w:ilvl w:val="3"/>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Action Housing: </w:t>
      </w:r>
      <w:r>
        <w:rPr>
          <w:rFonts w:ascii="Times New Roman" w:eastAsia="Times New Roman" w:hAnsi="Times New Roman" w:cs="Times New Roman"/>
          <w:color w:val="333333"/>
          <w:sz w:val="24"/>
          <w:szCs w:val="24"/>
        </w:rPr>
        <w:t>611 William Penn Place, Suite 800; Pittsburgh, PA 15219 Phone: 412-281-2102. Assists in locating affordable housing</w:t>
      </w:r>
    </w:p>
    <w:p w14:paraId="699572C7" w14:textId="77777777" w:rsidR="00EA203E" w:rsidRDefault="00EA203E" w:rsidP="00EA203E">
      <w:pPr>
        <w:pStyle w:val="Heading3"/>
        <w:keepNext w:val="0"/>
        <w:keepLines w:val="0"/>
        <w:numPr>
          <w:ilvl w:val="3"/>
          <w:numId w:val="7"/>
        </w:numPr>
        <w:tabs>
          <w:tab w:val="num" w:pos="360"/>
        </w:tabs>
        <w:spacing w:before="0" w:after="0"/>
        <w:ind w:left="0" w:firstLine="0"/>
        <w:rPr>
          <w:rFonts w:ascii="Times New Roman" w:eastAsia="Times New Roman" w:hAnsi="Times New Roman" w:cs="Times New Roman"/>
          <w:b/>
          <w:sz w:val="24"/>
          <w:szCs w:val="24"/>
        </w:rPr>
      </w:pPr>
      <w:bookmarkStart w:id="0" w:name="_y6e4mi568d0g" w:colFirst="0" w:colLast="0"/>
      <w:bookmarkEnd w:id="0"/>
      <w:r>
        <w:rPr>
          <w:rFonts w:ascii="Times New Roman" w:eastAsia="Times New Roman" w:hAnsi="Times New Roman" w:cs="Times New Roman"/>
          <w:b/>
          <w:color w:val="333333"/>
          <w:sz w:val="24"/>
          <w:szCs w:val="24"/>
        </w:rPr>
        <w:t xml:space="preserve">Allegheny County Housing Authority: </w:t>
      </w:r>
      <w:r>
        <w:rPr>
          <w:rFonts w:ascii="Times New Roman" w:eastAsia="Times New Roman" w:hAnsi="Times New Roman" w:cs="Times New Roman"/>
          <w:color w:val="333333"/>
          <w:sz w:val="24"/>
          <w:szCs w:val="24"/>
        </w:rPr>
        <w:t>625 Stanwix Street, 12th floor; Pittsburgh, PA 15222 Phone: 412-355-8940. Assists in locating affordable housing</w:t>
      </w:r>
    </w:p>
    <w:p w14:paraId="25613E4C"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shelter options </w:t>
      </w:r>
    </w:p>
    <w:p w14:paraId="1E9FA2B5" w14:textId="77777777" w:rsidR="00EA203E" w:rsidRDefault="00EA203E" w:rsidP="00EA203E">
      <w:pPr>
        <w:pStyle w:val="Heading3"/>
        <w:keepNext w:val="0"/>
        <w:keepLines w:val="0"/>
        <w:numPr>
          <w:ilvl w:val="3"/>
          <w:numId w:val="7"/>
        </w:numPr>
        <w:tabs>
          <w:tab w:val="num" w:pos="360"/>
        </w:tabs>
        <w:spacing w:before="0" w:after="0"/>
        <w:ind w:left="0" w:firstLine="0"/>
        <w:rPr>
          <w:rFonts w:ascii="Times New Roman" w:eastAsia="Times New Roman" w:hAnsi="Times New Roman" w:cs="Times New Roman"/>
          <w:sz w:val="24"/>
          <w:szCs w:val="24"/>
        </w:rPr>
      </w:pPr>
      <w:bookmarkStart w:id="1" w:name="_cipvd52ylct" w:colFirst="0" w:colLast="0"/>
      <w:bookmarkEnd w:id="1"/>
      <w:r>
        <w:rPr>
          <w:rFonts w:ascii="Times New Roman" w:eastAsia="Times New Roman" w:hAnsi="Times New Roman" w:cs="Times New Roman"/>
          <w:b/>
          <w:color w:val="333333"/>
          <w:sz w:val="24"/>
          <w:szCs w:val="24"/>
        </w:rPr>
        <w:t xml:space="preserve">Allegheny County Bureau of Hunger and Housing Services </w:t>
      </w:r>
      <w:r>
        <w:rPr>
          <w:rFonts w:ascii="Times New Roman" w:eastAsia="Times New Roman" w:hAnsi="Times New Roman" w:cs="Times New Roman"/>
          <w:color w:val="333333"/>
          <w:sz w:val="24"/>
          <w:szCs w:val="24"/>
        </w:rPr>
        <w:t>Phone: 412-350-4354 This is an area homeless resource.</w:t>
      </w:r>
    </w:p>
    <w:p w14:paraId="6D31BCF6" w14:textId="77777777" w:rsidR="00EA203E" w:rsidRDefault="00EA203E" w:rsidP="00EA203E">
      <w:pPr>
        <w:pStyle w:val="Heading3"/>
        <w:keepNext w:val="0"/>
        <w:keepLines w:val="0"/>
        <w:numPr>
          <w:ilvl w:val="3"/>
          <w:numId w:val="7"/>
        </w:numPr>
        <w:tabs>
          <w:tab w:val="num" w:pos="360"/>
        </w:tabs>
        <w:spacing w:before="0" w:after="0"/>
        <w:ind w:left="0" w:firstLine="0"/>
        <w:rPr>
          <w:rFonts w:ascii="Times New Roman" w:eastAsia="Times New Roman" w:hAnsi="Times New Roman" w:cs="Times New Roman"/>
          <w:sz w:val="24"/>
          <w:szCs w:val="24"/>
        </w:rPr>
      </w:pPr>
      <w:bookmarkStart w:id="2" w:name="_5k60489rfxke" w:colFirst="0" w:colLast="0"/>
      <w:bookmarkEnd w:id="2"/>
      <w:r>
        <w:rPr>
          <w:rFonts w:ascii="Times New Roman" w:eastAsia="Times New Roman" w:hAnsi="Times New Roman" w:cs="Times New Roman"/>
          <w:b/>
          <w:color w:val="333333"/>
          <w:sz w:val="24"/>
          <w:szCs w:val="24"/>
        </w:rPr>
        <w:t xml:space="preserve">East End Cooperative Ministry: </w:t>
      </w:r>
      <w:r>
        <w:rPr>
          <w:rFonts w:ascii="Times New Roman" w:eastAsia="Times New Roman" w:hAnsi="Times New Roman" w:cs="Times New Roman"/>
          <w:color w:val="333333"/>
          <w:sz w:val="24"/>
          <w:szCs w:val="24"/>
        </w:rPr>
        <w:t xml:space="preserve">6140 Station Street; Pittsburgh, PA 15206 Phone: 412-361-5549. Emergency shelter provides a refuge for the night, case management, </w:t>
      </w:r>
      <w:proofErr w:type="gramStart"/>
      <w:r>
        <w:rPr>
          <w:rFonts w:ascii="Times New Roman" w:eastAsia="Times New Roman" w:hAnsi="Times New Roman" w:cs="Times New Roman"/>
          <w:color w:val="333333"/>
          <w:sz w:val="24"/>
          <w:szCs w:val="24"/>
        </w:rPr>
        <w:t>breakfast</w:t>
      </w:r>
      <w:proofErr w:type="gramEnd"/>
      <w:r>
        <w:rPr>
          <w:rFonts w:ascii="Times New Roman" w:eastAsia="Times New Roman" w:hAnsi="Times New Roman" w:cs="Times New Roman"/>
          <w:color w:val="333333"/>
          <w:sz w:val="24"/>
          <w:szCs w:val="24"/>
        </w:rPr>
        <w:t xml:space="preserve"> and dinner as well as a shower and laundry services for men and women older than 18. Individuals can stay in the Emergency Shelter for up to 60 days.</w:t>
      </w:r>
    </w:p>
    <w:p w14:paraId="282B26F3" w14:textId="77777777" w:rsidR="00EA203E" w:rsidRDefault="00EA203E" w:rsidP="00EA203E">
      <w:pPr>
        <w:numPr>
          <w:ilvl w:val="1"/>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G</w:t>
      </w:r>
      <w:r>
        <w:rPr>
          <w:rFonts w:ascii="Times New Roman" w:eastAsia="Times New Roman" w:hAnsi="Times New Roman" w:cs="Times New Roman"/>
          <w:sz w:val="24"/>
          <w:szCs w:val="24"/>
        </w:rPr>
        <w:t>ender-based discrimination, sexual harassment, sexual misconduct, stalking, or intimate partner violence harassment:</w:t>
      </w:r>
    </w:p>
    <w:p w14:paraId="1A81FC3D"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the Title IX office: </w:t>
      </w:r>
      <w:hyperlink r:id="rId21">
        <w:r>
          <w:rPr>
            <w:rFonts w:ascii="Times New Roman" w:eastAsia="Times New Roman" w:hAnsi="Times New Roman" w:cs="Times New Roman"/>
            <w:color w:val="1155CC"/>
            <w:sz w:val="24"/>
            <w:szCs w:val="24"/>
            <w:u w:val="single"/>
          </w:rPr>
          <w:t>https://www.diversity.pitt.edu/civil-rights-title-ix/policies-procedures-and-practices/sexual-misconduct-and-title-ix</w:t>
        </w:r>
      </w:hyperlink>
      <w:r>
        <w:rPr>
          <w:rFonts w:ascii="Times New Roman" w:eastAsia="Times New Roman" w:hAnsi="Times New Roman" w:cs="Times New Roman"/>
          <w:sz w:val="24"/>
          <w:szCs w:val="24"/>
        </w:rPr>
        <w:t xml:space="preserve"> </w:t>
      </w:r>
    </w:p>
    <w:p w14:paraId="07B68056" w14:textId="77777777" w:rsidR="00EA203E" w:rsidRDefault="00EA203E" w:rsidP="00EA203E">
      <w:pPr>
        <w:numPr>
          <w:ilvl w:val="1"/>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Sexual violence:</w:t>
      </w:r>
    </w:p>
    <w:p w14:paraId="7F66245A"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Pittsburgh Action Against Rape:</w:t>
      </w:r>
    </w:p>
    <w:p w14:paraId="0C8D8AFB" w14:textId="77777777" w:rsidR="00EA203E" w:rsidRDefault="00EA203E" w:rsidP="00EA203E">
      <w:pPr>
        <w:numPr>
          <w:ilvl w:val="3"/>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24-hour crisis intervention, counseling, and advocacy for victims of sexual assault</w:t>
      </w:r>
    </w:p>
    <w:p w14:paraId="2D198372" w14:textId="77777777" w:rsidR="00EA203E" w:rsidRDefault="00EA203E" w:rsidP="00EA203E">
      <w:pPr>
        <w:numPr>
          <w:ilvl w:val="3"/>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1-866-363-7273</w:t>
      </w:r>
    </w:p>
    <w:p w14:paraId="46D47219" w14:textId="77777777" w:rsidR="00EA203E" w:rsidRDefault="00EA203E" w:rsidP="00EA203E">
      <w:pPr>
        <w:numPr>
          <w:ilvl w:val="3"/>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2">
        <w:r>
          <w:rPr>
            <w:rFonts w:ascii="Times New Roman" w:eastAsia="Times New Roman" w:hAnsi="Times New Roman" w:cs="Times New Roman"/>
            <w:color w:val="1155CC"/>
            <w:sz w:val="24"/>
            <w:szCs w:val="24"/>
            <w:u w:val="single"/>
          </w:rPr>
          <w:t>Home - PAAR</w:t>
        </w:r>
      </w:hyperlink>
      <w:r>
        <w:rPr>
          <w:rFonts w:ascii="Times New Roman" w:eastAsia="Times New Roman" w:hAnsi="Times New Roman" w:cs="Times New Roman"/>
          <w:sz w:val="24"/>
          <w:szCs w:val="24"/>
        </w:rPr>
        <w:t xml:space="preserve">  </w:t>
      </w:r>
    </w:p>
    <w:p w14:paraId="5F2A0012" w14:textId="77777777" w:rsidR="00EA203E" w:rsidRDefault="00EA203E" w:rsidP="00EA203E">
      <w:pPr>
        <w:numPr>
          <w:ilvl w:val="1"/>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Racial violence, discrimination, harassment:</w:t>
      </w:r>
    </w:p>
    <w:p w14:paraId="6951AE52" w14:textId="77777777" w:rsidR="00EA203E" w:rsidRDefault="00EA203E" w:rsidP="00EA203E">
      <w:pPr>
        <w:numPr>
          <w:ilvl w:val="2"/>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7D995C52" w14:textId="77777777" w:rsidR="00EA203E" w:rsidRPr="00811F16" w:rsidRDefault="00EA203E" w:rsidP="00EA203E">
      <w:pPr>
        <w:numPr>
          <w:ilvl w:val="3"/>
          <w:numId w:val="7"/>
        </w:numPr>
        <w:spacing w:after="0" w:line="276" w:lineRule="auto"/>
        <w:rPr>
          <w:rFonts w:ascii="Times New Roman" w:eastAsia="Times New Roman" w:hAnsi="Times New Roman" w:cs="Times New Roman"/>
          <w:sz w:val="24"/>
          <w:szCs w:val="24"/>
        </w:rPr>
      </w:pPr>
      <w:hyperlink r:id="rId23">
        <w:r>
          <w:rPr>
            <w:rFonts w:ascii="Times New Roman" w:eastAsia="Times New Roman" w:hAnsi="Times New Roman" w:cs="Times New Roman"/>
            <w:color w:val="1155CC"/>
            <w:sz w:val="24"/>
            <w:szCs w:val="24"/>
            <w:u w:val="single"/>
          </w:rPr>
          <w:t>https://www.diversity.pitt.edu/civil-rights-title-ix-compliance/policies-procedures-and-practices/notice-non-discrimination</w:t>
        </w:r>
      </w:hyperlink>
      <w:r>
        <w:rPr>
          <w:rFonts w:ascii="Times New Roman" w:eastAsia="Times New Roman" w:hAnsi="Times New Roman" w:cs="Times New Roman"/>
          <w:sz w:val="24"/>
          <w:szCs w:val="24"/>
        </w:rPr>
        <w:t xml:space="preserve"> </w:t>
      </w:r>
    </w:p>
    <w:p w14:paraId="7F77C280" w14:textId="77777777" w:rsidR="00EA203E" w:rsidRDefault="00EA203E" w:rsidP="00EA203E">
      <w:pPr>
        <w:rPr>
          <w:rFonts w:ascii="Times New Roman" w:eastAsia="Times New Roman" w:hAnsi="Times New Roman" w:cs="Times New Roman"/>
          <w:sz w:val="24"/>
          <w:szCs w:val="24"/>
        </w:rPr>
      </w:pPr>
      <w:r>
        <w:rPr>
          <w:noProof/>
        </w:rPr>
        <w:pict w14:anchorId="59EF9CDC">
          <v:rect id="_x0000_i1028" alt="" style="width:468pt;height:.05pt;mso-width-percent:0;mso-height-percent:0;mso-width-percent:0;mso-height-percent:0" o:hralign="center" o:hrstd="t" o:hr="t" fillcolor="#a0a0a0" stroked="f"/>
        </w:pict>
      </w:r>
      <w:r>
        <w:rPr>
          <w:rFonts w:ascii="Times New Roman" w:eastAsia="Times New Roman" w:hAnsi="Times New Roman" w:cs="Times New Roman"/>
          <w:sz w:val="24"/>
          <w:szCs w:val="24"/>
        </w:rPr>
        <w:tab/>
      </w:r>
    </w:p>
    <w:p w14:paraId="306DAD80" w14:textId="77777777" w:rsidR="00EA203E" w:rsidRDefault="00EA203E" w:rsidP="00EA203E">
      <w:pPr>
        <w:pStyle w:val="Heading3"/>
        <w:keepNext w:val="0"/>
        <w:keepLines w:val="0"/>
        <w:widowControl w:val="0"/>
        <w:spacing w:before="0" w:after="0"/>
        <w:rPr>
          <w:rFonts w:ascii="Times New Roman" w:eastAsia="Times New Roman" w:hAnsi="Times New Roman" w:cs="Times New Roman"/>
          <w:color w:val="000000"/>
          <w:sz w:val="24"/>
          <w:szCs w:val="24"/>
          <w:u w:val="single"/>
        </w:rPr>
      </w:pPr>
      <w:bookmarkStart w:id="3" w:name="_hdr2p9n735pc" w:colFirst="0" w:colLast="0"/>
      <w:bookmarkEnd w:id="3"/>
      <w:r>
        <w:rPr>
          <w:rFonts w:ascii="Times New Roman" w:eastAsia="Times New Roman" w:hAnsi="Times New Roman" w:cs="Times New Roman"/>
          <w:color w:val="000000"/>
          <w:sz w:val="24"/>
          <w:szCs w:val="24"/>
          <w:u w:val="single"/>
        </w:rPr>
        <w:t>Equity, Diversity, and Inclusion</w:t>
      </w:r>
    </w:p>
    <w:p w14:paraId="7AA5CADB" w14:textId="77777777" w:rsidR="00EA203E" w:rsidRDefault="00EA203E" w:rsidP="00EA20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24">
        <w:r>
          <w:rPr>
            <w:rFonts w:ascii="Times New Roman" w:eastAsia="Times New Roman" w:hAnsi="Times New Roman" w:cs="Times New Roman"/>
            <w:color w:val="1155CC"/>
            <w:sz w:val="24"/>
            <w:szCs w:val="24"/>
            <w:u w:val="single"/>
          </w:rPr>
          <w:t xml:space="preserve"> Civil Rights &amp; Title IX Compliance web page</w:t>
        </w:r>
      </w:hyperlink>
      <w:r>
        <w:rPr>
          <w:rFonts w:ascii="Times New Roman" w:eastAsia="Times New Roman" w:hAnsi="Times New Roman" w:cs="Times New Roman"/>
          <w:sz w:val="24"/>
          <w:szCs w:val="24"/>
        </w:rPr>
        <w:t>.</w:t>
      </w:r>
    </w:p>
    <w:p w14:paraId="45643F13" w14:textId="77777777" w:rsidR="00EA203E" w:rsidRDefault="00EA203E" w:rsidP="00EA203E">
      <w:pPr>
        <w:widowControl w:val="0"/>
        <w:rPr>
          <w:rFonts w:ascii="Times New Roman" w:eastAsia="Times New Roman" w:hAnsi="Times New Roman" w:cs="Times New Roman"/>
          <w:sz w:val="24"/>
          <w:szCs w:val="24"/>
        </w:rPr>
      </w:pPr>
    </w:p>
    <w:p w14:paraId="31D49E22" w14:textId="77777777" w:rsidR="00EA203E" w:rsidRDefault="00EA203E" w:rsidP="00EA20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ask that everyone in the class strive to help ensure that other members of this class can learn in a supportive and respectful environment. If there are instances of the </w:t>
      </w:r>
      <w:proofErr w:type="gramStart"/>
      <w:r>
        <w:rPr>
          <w:rFonts w:ascii="Times New Roman" w:eastAsia="Times New Roman" w:hAnsi="Times New Roman" w:cs="Times New Roman"/>
          <w:sz w:val="24"/>
          <w:szCs w:val="24"/>
        </w:rPr>
        <w:t>aforementioned issues</w:t>
      </w:r>
      <w:proofErr w:type="gramEnd"/>
      <w:r>
        <w:rPr>
          <w:rFonts w:ascii="Times New Roman" w:eastAsia="Times New Roman" w:hAnsi="Times New Roman" w:cs="Times New Roman"/>
          <w:sz w:val="24"/>
          <w:szCs w:val="24"/>
        </w:rPr>
        <w:t>, please contact the Title IX Coordinator, by calling 412-648-7860, or e-mailing titleixcoordinator@pitt.edu. Reports can also be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filed online</w:t>
        </w:r>
      </w:hyperlink>
      <w:r>
        <w:rPr>
          <w:rFonts w:ascii="Times New Roman" w:eastAsia="Times New Roman" w:hAnsi="Times New Roman" w:cs="Times New Roman"/>
          <w:sz w:val="24"/>
          <w:szCs w:val="24"/>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44C35D36" w14:textId="77777777" w:rsidR="00EA203E" w:rsidRDefault="00EA203E" w:rsidP="00EA203E">
      <w:pPr>
        <w:pStyle w:val="Heading3"/>
        <w:keepNext w:val="0"/>
        <w:keepLines w:val="0"/>
        <w:widowControl w:val="0"/>
        <w:spacing w:before="0" w:after="0"/>
        <w:rPr>
          <w:rFonts w:ascii="Times New Roman" w:eastAsia="Times New Roman" w:hAnsi="Times New Roman" w:cs="Times New Roman"/>
          <w:color w:val="000000"/>
          <w:sz w:val="24"/>
          <w:szCs w:val="24"/>
          <w:u w:val="single"/>
        </w:rPr>
      </w:pPr>
      <w:bookmarkStart w:id="4" w:name="_r8wk6ngnvklh" w:colFirst="0" w:colLast="0"/>
      <w:bookmarkEnd w:id="4"/>
    </w:p>
    <w:p w14:paraId="15DBB8D0" w14:textId="77777777" w:rsidR="00EA203E" w:rsidRDefault="00EA203E" w:rsidP="00EA203E">
      <w:pPr>
        <w:pStyle w:val="Heading3"/>
        <w:keepNext w:val="0"/>
        <w:keepLines w:val="0"/>
        <w:widowControl w:val="0"/>
        <w:spacing w:before="0" w:after="0"/>
        <w:rPr>
          <w:rFonts w:ascii="Times New Roman" w:eastAsia="Times New Roman" w:hAnsi="Times New Roman" w:cs="Times New Roman"/>
          <w:color w:val="000000"/>
          <w:sz w:val="24"/>
          <w:szCs w:val="24"/>
          <w:u w:val="single"/>
        </w:rPr>
      </w:pPr>
      <w:bookmarkStart w:id="5" w:name="_fna0esp25xtj" w:colFirst="0" w:colLast="0"/>
      <w:bookmarkEnd w:id="5"/>
      <w:r>
        <w:rPr>
          <w:rFonts w:ascii="Times New Roman" w:eastAsia="Times New Roman" w:hAnsi="Times New Roman" w:cs="Times New Roman"/>
          <w:color w:val="000000"/>
          <w:sz w:val="24"/>
          <w:szCs w:val="24"/>
          <w:u w:val="single"/>
        </w:rPr>
        <w:t>Gender Inclusive Language Statement</w:t>
      </w:r>
    </w:p>
    <w:p w14:paraId="294DAF06" w14:textId="77777777" w:rsidR="00EA203E" w:rsidRPr="00425116" w:rsidRDefault="00EA203E" w:rsidP="00EA203E">
      <w:pPr>
        <w:pStyle w:val="Heading3"/>
        <w:keepNext w:val="0"/>
        <w:keepLines w:val="0"/>
        <w:widowControl w:val="0"/>
        <w:spacing w:before="0" w:after="0"/>
        <w:rPr>
          <w:rFonts w:ascii="Times New Roman" w:eastAsia="Times New Roman" w:hAnsi="Times New Roman" w:cs="Times New Roman"/>
          <w:color w:val="000000" w:themeColor="text1"/>
          <w:sz w:val="24"/>
          <w:szCs w:val="24"/>
        </w:rPr>
      </w:pPr>
      <w:bookmarkStart w:id="6" w:name="_2nvlg5sj65gj" w:colFirst="0" w:colLast="0"/>
      <w:bookmarkEnd w:id="6"/>
      <w:r w:rsidRPr="00425116">
        <w:rPr>
          <w:rFonts w:ascii="Times New Roman" w:eastAsia="Times New Roman" w:hAnsi="Times New Roman" w:cs="Times New Roman"/>
          <w:color w:val="000000" w:themeColor="text1"/>
          <w:sz w:val="24"/>
          <w:szCs w:val="24"/>
        </w:rPr>
        <w:t xml:space="preserve">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w:t>
      </w:r>
      <w:proofErr w:type="gramStart"/>
      <w:r w:rsidRPr="00425116">
        <w:rPr>
          <w:rFonts w:ascii="Times New Roman" w:eastAsia="Times New Roman" w:hAnsi="Times New Roman" w:cs="Times New Roman"/>
          <w:color w:val="000000" w:themeColor="text1"/>
          <w:sz w:val="24"/>
          <w:szCs w:val="24"/>
        </w:rPr>
        <w:t>identifications, and</w:t>
      </w:r>
      <w:proofErr w:type="gramEnd"/>
      <w:r w:rsidRPr="00425116">
        <w:rPr>
          <w:rFonts w:ascii="Times New Roman" w:eastAsia="Times New Roman" w:hAnsi="Times New Roman" w:cs="Times New Roman"/>
          <w:color w:val="000000" w:themeColor="text1"/>
          <w:sz w:val="24"/>
          <w:szCs w:val="24"/>
        </w:rPr>
        <w:t xml:space="preserve"> recognizes the difference between biological sex and gender expression. Students, faculty, and </w:t>
      </w:r>
      <w:r w:rsidRPr="00425116">
        <w:rPr>
          <w:rFonts w:ascii="Times New Roman" w:eastAsia="Times New Roman" w:hAnsi="Times New Roman" w:cs="Times New Roman"/>
          <w:color w:val="000000" w:themeColor="text1"/>
          <w:sz w:val="24"/>
          <w:szCs w:val="24"/>
        </w:rPr>
        <w:lastRenderedPageBreak/>
        <w:t>staff may share their preferred pronouns and names, and these gender identities and gender expressions should be honored.</w:t>
      </w:r>
    </w:p>
    <w:p w14:paraId="24403A25" w14:textId="77777777" w:rsidR="00EA203E" w:rsidRPr="00425116" w:rsidRDefault="00EA203E" w:rsidP="00EA203E">
      <w:pPr>
        <w:widowControl w:val="0"/>
        <w:rPr>
          <w:rFonts w:ascii="Times New Roman" w:eastAsia="Times New Roman" w:hAnsi="Times New Roman" w:cs="Times New Roman"/>
          <w:color w:val="000000" w:themeColor="text1"/>
          <w:sz w:val="24"/>
          <w:szCs w:val="24"/>
        </w:rPr>
      </w:pPr>
    </w:p>
    <w:p w14:paraId="4F03636D" w14:textId="77777777" w:rsidR="00EA203E" w:rsidRDefault="00EA203E" w:rsidP="00EA203E">
      <w:pPr>
        <w:widowControl w:val="0"/>
        <w:rPr>
          <w:rFonts w:ascii="Times New Roman" w:eastAsia="Times New Roman" w:hAnsi="Times New Roman" w:cs="Times New Roman"/>
          <w:sz w:val="24"/>
          <w:szCs w:val="24"/>
        </w:rPr>
      </w:pPr>
      <w:r>
        <w:rPr>
          <w:noProof/>
        </w:rPr>
        <w:pict w14:anchorId="586189F9">
          <v:rect id="_x0000_i1029" alt="" style="width:468pt;height:.05pt;mso-width-percent:0;mso-height-percent:0;mso-width-percent:0;mso-height-percent:0" o:hralign="center" o:hrstd="t" o:hr="t" fillcolor="#a0a0a0" stroked="f"/>
        </w:pict>
      </w:r>
    </w:p>
    <w:p w14:paraId="500A1919" w14:textId="77777777" w:rsidR="00EA203E" w:rsidRDefault="00EA203E" w:rsidP="00EA203E">
      <w:p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audio, video or otherwise record any part of class without the written consent of the professor.</w:t>
      </w:r>
    </w:p>
    <w:p w14:paraId="2E71BF61" w14:textId="77777777" w:rsidR="00EA203E" w:rsidRPr="00834113" w:rsidRDefault="00EA203E" w:rsidP="00EA203E">
      <w:pPr>
        <w:tabs>
          <w:tab w:val="left" w:pos="1530"/>
        </w:tabs>
        <w:rPr>
          <w:rFonts w:ascii="Times New Roman" w:hAnsi="Times New Roman" w:cs="Times New Roman"/>
          <w:sz w:val="24"/>
          <w:szCs w:val="24"/>
        </w:rPr>
      </w:pPr>
    </w:p>
    <w:p w14:paraId="1CEF418E" w14:textId="77777777" w:rsidR="00DB5C54" w:rsidRPr="00DB5C54" w:rsidRDefault="00DB5C54">
      <w:pPr>
        <w:rPr>
          <w:rFonts w:ascii="Times New Roman" w:hAnsi="Times New Roman" w:cs="Times New Roman"/>
          <w:b/>
          <w:bCs/>
          <w:sz w:val="24"/>
          <w:szCs w:val="24"/>
        </w:rPr>
      </w:pPr>
    </w:p>
    <w:p w14:paraId="66C370A5" w14:textId="25AD9F28" w:rsidR="00DA61C1" w:rsidRPr="00DA61C1" w:rsidRDefault="00DA61C1">
      <w:pPr>
        <w:rPr>
          <w:rFonts w:ascii="Times New Roman" w:hAnsi="Times New Roman" w:cs="Times New Roman"/>
          <w:i/>
          <w:iCs/>
          <w:sz w:val="24"/>
          <w:szCs w:val="24"/>
        </w:rPr>
      </w:pPr>
    </w:p>
    <w:sectPr w:rsidR="00DA61C1" w:rsidRPr="00DA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362"/>
    <w:multiLevelType w:val="multilevel"/>
    <w:tmpl w:val="9518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349AD"/>
    <w:multiLevelType w:val="multilevel"/>
    <w:tmpl w:val="8A1E4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A00EC"/>
    <w:multiLevelType w:val="hybridMultilevel"/>
    <w:tmpl w:val="8294024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1960"/>
    <w:multiLevelType w:val="hybridMultilevel"/>
    <w:tmpl w:val="6BA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03B3C"/>
    <w:multiLevelType w:val="hybridMultilevel"/>
    <w:tmpl w:val="6570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9638B"/>
    <w:multiLevelType w:val="multilevel"/>
    <w:tmpl w:val="51602E7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656751"/>
    <w:multiLevelType w:val="multilevel"/>
    <w:tmpl w:val="D8968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017296">
    <w:abstractNumId w:val="2"/>
  </w:num>
  <w:num w:numId="2" w16cid:durableId="1865240958">
    <w:abstractNumId w:val="4"/>
  </w:num>
  <w:num w:numId="3" w16cid:durableId="793056802">
    <w:abstractNumId w:val="3"/>
  </w:num>
  <w:num w:numId="4" w16cid:durableId="233470335">
    <w:abstractNumId w:val="1"/>
  </w:num>
  <w:num w:numId="5" w16cid:durableId="1110590891">
    <w:abstractNumId w:val="0"/>
  </w:num>
  <w:num w:numId="6" w16cid:durableId="1673603127">
    <w:abstractNumId w:val="6"/>
  </w:num>
  <w:num w:numId="7" w16cid:durableId="131798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8"/>
    <w:rsid w:val="00020D5D"/>
    <w:rsid w:val="00161BC7"/>
    <w:rsid w:val="00260C7E"/>
    <w:rsid w:val="003C239D"/>
    <w:rsid w:val="003C6962"/>
    <w:rsid w:val="005D7235"/>
    <w:rsid w:val="00606EE4"/>
    <w:rsid w:val="006E49D3"/>
    <w:rsid w:val="008A7A81"/>
    <w:rsid w:val="00A10E90"/>
    <w:rsid w:val="00A11CFA"/>
    <w:rsid w:val="00A51F4C"/>
    <w:rsid w:val="00CD13F8"/>
    <w:rsid w:val="00DA61C1"/>
    <w:rsid w:val="00DB5C54"/>
    <w:rsid w:val="00EA203E"/>
    <w:rsid w:val="00EC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EE9"/>
  <w15:chartTrackingRefBased/>
  <w15:docId w15:val="{3E954BD2-47C3-40C4-98B8-854216CF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203E"/>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D3"/>
    <w:pPr>
      <w:ind w:left="720"/>
      <w:contextualSpacing/>
    </w:pPr>
  </w:style>
  <w:style w:type="character" w:customStyle="1" w:styleId="Heading3Char">
    <w:name w:val="Heading 3 Char"/>
    <w:basedOn w:val="DefaultParagraphFont"/>
    <w:link w:val="Heading3"/>
    <w:uiPriority w:val="9"/>
    <w:rsid w:val="00EA203E"/>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nsjournal.org/currents-trigger-warnings/halberstam/" TargetMode="External"/><Relationship Id="rId13" Type="http://schemas.openxmlformats.org/officeDocument/2006/relationships/hyperlink" Target="https://www.studentaffairs.pitt.edu/drs/" TargetMode="External"/><Relationship Id="rId18" Type="http://schemas.openxmlformats.org/officeDocument/2006/relationships/hyperlink" Target="https://www.studentaffairs.pitt.edu/lgbtqia/single-occupancy-restrooms/" TargetMode="External"/><Relationship Id="rId26" Type="http://schemas.openxmlformats.org/officeDocument/2006/relationships/hyperlink" Target="https://www.diversity.pitt.edu/civil-rights-title-ix-compliance/make-report/report-form" TargetMode="External"/><Relationship Id="rId3" Type="http://schemas.openxmlformats.org/officeDocument/2006/relationships/settings" Target="settings.xml"/><Relationship Id="rId21" Type="http://schemas.openxmlformats.org/officeDocument/2006/relationships/hyperlink" Target="https://www.diversity.pitt.edu/civil-rights-title-ix/policies-procedures-and-practices/sexual-misconduct-and-title-ix" TargetMode="External"/><Relationship Id="rId7" Type="http://schemas.openxmlformats.org/officeDocument/2006/relationships/hyperlink" Target="https://politicaleducation.org/political-education-in-a-time-of-rebellion/" TargetMode="External"/><Relationship Id="rId12" Type="http://schemas.openxmlformats.org/officeDocument/2006/relationships/hyperlink" Target="http://pitt.libguides.com/academicintegrity/plagiarism" TargetMode="External"/><Relationship Id="rId17" Type="http://schemas.openxmlformats.org/officeDocument/2006/relationships/hyperlink" Target="https://www.diversity.pitt.edu/diverse-populations/pregnant-and-parenting-students" TargetMode="External"/><Relationship Id="rId25" Type="http://schemas.openxmlformats.org/officeDocument/2006/relationships/hyperlink" Target="https://www.diversity.pitt.edu/civil-rights-title-ix-compliance/make-report/report-form" TargetMode="External"/><Relationship Id="rId2" Type="http://schemas.openxmlformats.org/officeDocument/2006/relationships/styles" Target="styles.xml"/><Relationship Id="rId16" Type="http://schemas.openxmlformats.org/officeDocument/2006/relationships/hyperlink" Target="https://www.diversity.pitt.edu/civil-rights-title-ix-compliance/policies-procedures-and-practices/notice-non-discrimination" TargetMode="External"/><Relationship Id="rId20" Type="http://schemas.openxmlformats.org/officeDocument/2006/relationships/hyperlink" Target="https://www.pittsburghfoodbank.org/get-help/drive-up/" TargetMode="External"/><Relationship Id="rId1" Type="http://schemas.openxmlformats.org/officeDocument/2006/relationships/numbering" Target="numbering.xml"/><Relationship Id="rId6" Type="http://schemas.openxmlformats.org/officeDocument/2006/relationships/hyperlink" Target="https://leavingevidence.wordpress.com/2019/12/18/how-to-give-a-good-apology-part-1-the-four-parts-of-accountability/" TargetMode="External"/><Relationship Id="rId11" Type="http://schemas.openxmlformats.org/officeDocument/2006/relationships/hyperlink" Target="http://pitt.libguides.com/academicintegrity/" TargetMode="External"/><Relationship Id="rId24" Type="http://schemas.openxmlformats.org/officeDocument/2006/relationships/hyperlink" Target="https://www.diversity.pitt.edu/civil-rights-title-ix-compliance" TargetMode="External"/><Relationship Id="rId5" Type="http://schemas.openxmlformats.org/officeDocument/2006/relationships/hyperlink" Target="https://francesslee.medium.com/practicing-new-social-relations-even-in-conflict-dean-spade-54d4a60fcfed" TargetMode="External"/><Relationship Id="rId15" Type="http://schemas.openxmlformats.org/officeDocument/2006/relationships/hyperlink" Target="https://www.diversity.pitt.edu/disability-access/disability-resources-and-services/accommodations" TargetMode="External"/><Relationship Id="rId23" Type="http://schemas.openxmlformats.org/officeDocument/2006/relationships/hyperlink" Target="https://www.diversity.pitt.edu/civil-rights-title-ix-compliance/policies-procedures-and-practices/notice-non-discrimination" TargetMode="External"/><Relationship Id="rId28" Type="http://schemas.openxmlformats.org/officeDocument/2006/relationships/theme" Target="theme/theme1.xml"/><Relationship Id="rId10" Type="http://schemas.openxmlformats.org/officeDocument/2006/relationships/hyperlink" Target="http://www.cfo.pitt.edu/policies/policy/02/02-03-02.html" TargetMode="External"/><Relationship Id="rId19" Type="http://schemas.openxmlformats.org/officeDocument/2006/relationships/hyperlink" Target="https://www.studentaffairs.pitt.edu/pittserves/the-pitt-pantry/what-to-expect/" TargetMode="External"/><Relationship Id="rId4" Type="http://schemas.openxmlformats.org/officeDocument/2006/relationships/webSettings" Target="webSettings.xml"/><Relationship Id="rId9" Type="http://schemas.openxmlformats.org/officeDocument/2006/relationships/hyperlink" Target="https://www.salon.com/2014/05/20/no_trigger_warnings_in_my_class_why_you_won%E2%80%99t_find_them_on_my_syllabi/" TargetMode="External"/><Relationship Id="rId14" Type="http://schemas.openxmlformats.org/officeDocument/2006/relationships/hyperlink" Target="https://www.diversity.pitt.edu/disability-access/disability-resources-and-services" TargetMode="External"/><Relationship Id="rId22" Type="http://schemas.openxmlformats.org/officeDocument/2006/relationships/hyperlink" Target="https://paar.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Josue R</dc:creator>
  <cp:keywords/>
  <dc:description/>
  <cp:lastModifiedBy>Lopez, Josué  Ricardo</cp:lastModifiedBy>
  <cp:revision>2</cp:revision>
  <dcterms:created xsi:type="dcterms:W3CDTF">2022-05-04T18:30:00Z</dcterms:created>
  <dcterms:modified xsi:type="dcterms:W3CDTF">2022-05-04T18:30:00Z</dcterms:modified>
</cp:coreProperties>
</file>