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582B" w14:textId="77777777" w:rsidR="004655F8" w:rsidRPr="005F4791" w:rsidRDefault="004655F8" w:rsidP="004655F8">
      <w:pPr>
        <w:jc w:val="center"/>
        <w:rPr>
          <w:rFonts w:asciiTheme="majorHAnsi" w:hAnsiTheme="majorHAnsi" w:cs="Arial"/>
          <w:b/>
          <w:bCs/>
        </w:rPr>
      </w:pPr>
      <w:r w:rsidRPr="005F4791">
        <w:rPr>
          <w:rFonts w:asciiTheme="majorHAnsi" w:hAnsiTheme="majorHAnsi" w:cs="Arial"/>
          <w:b/>
          <w:bCs/>
        </w:rPr>
        <w:t xml:space="preserve">Organizational Perspectives on Educational Improvement </w:t>
      </w:r>
    </w:p>
    <w:p w14:paraId="663F47F4" w14:textId="77777777" w:rsidR="004655F8" w:rsidRPr="005F4791" w:rsidRDefault="004655F8" w:rsidP="004655F8">
      <w:pPr>
        <w:jc w:val="center"/>
        <w:rPr>
          <w:rFonts w:asciiTheme="majorHAnsi" w:hAnsiTheme="majorHAnsi" w:cs="Arial"/>
          <w:b/>
          <w:bCs/>
        </w:rPr>
      </w:pPr>
      <w:r w:rsidRPr="005F4791">
        <w:rPr>
          <w:rFonts w:asciiTheme="majorHAnsi" w:hAnsiTheme="majorHAnsi" w:cs="Arial"/>
          <w:b/>
          <w:bCs/>
        </w:rPr>
        <w:t xml:space="preserve">LSAP </w:t>
      </w:r>
      <w:r>
        <w:rPr>
          <w:rFonts w:asciiTheme="majorHAnsi" w:hAnsiTheme="majorHAnsi" w:cs="Arial"/>
          <w:b/>
          <w:bCs/>
        </w:rPr>
        <w:t>3095-1010 (CRN# 29060)</w:t>
      </w:r>
    </w:p>
    <w:p w14:paraId="24B84FC8" w14:textId="77777777" w:rsidR="004655F8" w:rsidRPr="005F4791" w:rsidRDefault="004655F8" w:rsidP="004655F8">
      <w:pPr>
        <w:rPr>
          <w:rFonts w:asciiTheme="majorHAnsi" w:hAnsiTheme="majorHAnsi" w:cs="Arial"/>
          <w:b/>
          <w:bCs/>
          <w:u w:val="single"/>
        </w:rPr>
      </w:pPr>
      <w:r w:rsidRPr="005F4791">
        <w:rPr>
          <w:rFonts w:asciiTheme="majorHAnsi" w:hAnsiTheme="majorHAnsi" w:cs="Arial"/>
          <w:b/>
          <w:bCs/>
          <w:u w:val="single"/>
        </w:rPr>
        <w:t>Instructors</w:t>
      </w:r>
    </w:p>
    <w:p w14:paraId="4DD973F6" w14:textId="77777777" w:rsidR="004655F8" w:rsidRPr="005F4791" w:rsidRDefault="004655F8" w:rsidP="004655F8">
      <w:pPr>
        <w:pStyle w:val="Default"/>
        <w:rPr>
          <w:rFonts w:asciiTheme="majorHAnsi" w:hAnsiTheme="majorHAnsi" w:cs="Arial"/>
        </w:rPr>
      </w:pPr>
      <w:r w:rsidRPr="005F4791">
        <w:rPr>
          <w:rFonts w:asciiTheme="majorHAnsi" w:hAnsiTheme="majorHAnsi" w:cs="Arial"/>
        </w:rPr>
        <w:t>Jennifer Russell</w:t>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p>
    <w:p w14:paraId="2A428913" w14:textId="77777777" w:rsidR="004655F8" w:rsidRPr="005F4791" w:rsidRDefault="004655F8" w:rsidP="004655F8">
      <w:pPr>
        <w:pStyle w:val="Default"/>
        <w:rPr>
          <w:rFonts w:asciiTheme="majorHAnsi" w:hAnsiTheme="majorHAnsi" w:cs="Arial"/>
        </w:rPr>
      </w:pPr>
      <w:r w:rsidRPr="005F4791">
        <w:rPr>
          <w:rFonts w:asciiTheme="majorHAnsi" w:hAnsiTheme="majorHAnsi" w:cs="Arial"/>
        </w:rPr>
        <w:t>808 LRDC</w:t>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p>
    <w:p w14:paraId="5591562C" w14:textId="77777777" w:rsidR="004655F8" w:rsidRPr="005F4791" w:rsidRDefault="00D63A02" w:rsidP="004655F8">
      <w:pPr>
        <w:pStyle w:val="Default"/>
        <w:rPr>
          <w:rFonts w:asciiTheme="majorHAnsi" w:hAnsiTheme="majorHAnsi" w:cs="Arial"/>
        </w:rPr>
      </w:pPr>
      <w:hyperlink r:id="rId8" w:history="1">
        <w:r w:rsidR="004655F8" w:rsidRPr="005F4791">
          <w:rPr>
            <w:rStyle w:val="Hyperlink"/>
            <w:rFonts w:asciiTheme="majorHAnsi" w:hAnsiTheme="majorHAnsi" w:cs="Arial"/>
          </w:rPr>
          <w:t>jrussel@pitt.edu</w:t>
        </w:r>
      </w:hyperlink>
      <w:r w:rsidR="004655F8" w:rsidRPr="005F4791">
        <w:rPr>
          <w:rFonts w:asciiTheme="majorHAnsi" w:hAnsiTheme="majorHAnsi" w:cs="Arial"/>
        </w:rPr>
        <w:t xml:space="preserve"> </w:t>
      </w:r>
      <w:r w:rsidR="004655F8" w:rsidRPr="005F4791">
        <w:rPr>
          <w:rFonts w:asciiTheme="majorHAnsi" w:hAnsiTheme="majorHAnsi" w:cs="Arial"/>
        </w:rPr>
        <w:tab/>
      </w:r>
      <w:r w:rsidR="004655F8" w:rsidRPr="005F4791">
        <w:rPr>
          <w:rFonts w:asciiTheme="majorHAnsi" w:hAnsiTheme="majorHAnsi" w:cs="Arial"/>
        </w:rPr>
        <w:tab/>
      </w:r>
      <w:r w:rsidR="004655F8" w:rsidRPr="005F4791">
        <w:rPr>
          <w:rFonts w:asciiTheme="majorHAnsi" w:hAnsiTheme="majorHAnsi" w:cs="Arial"/>
        </w:rPr>
        <w:tab/>
      </w:r>
      <w:r w:rsidR="004655F8" w:rsidRPr="005F4791">
        <w:rPr>
          <w:rFonts w:asciiTheme="majorHAnsi" w:hAnsiTheme="majorHAnsi" w:cs="Arial"/>
        </w:rPr>
        <w:tab/>
      </w:r>
      <w:r w:rsidR="004655F8" w:rsidRPr="005F4791">
        <w:rPr>
          <w:rFonts w:asciiTheme="majorHAnsi" w:hAnsiTheme="majorHAnsi" w:cs="Arial"/>
        </w:rPr>
        <w:tab/>
      </w:r>
    </w:p>
    <w:p w14:paraId="43A3BFA2" w14:textId="77777777" w:rsidR="004655F8" w:rsidRPr="005F4791" w:rsidRDefault="004655F8" w:rsidP="004655F8">
      <w:pPr>
        <w:rPr>
          <w:rFonts w:asciiTheme="majorHAnsi" w:hAnsiTheme="majorHAnsi" w:cs="Arial"/>
        </w:rPr>
      </w:pPr>
      <w:r w:rsidRPr="005F4791">
        <w:rPr>
          <w:rFonts w:asciiTheme="majorHAnsi" w:hAnsiTheme="majorHAnsi" w:cs="Arial"/>
        </w:rPr>
        <w:t>(412) 624-7489</w:t>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r w:rsidRPr="005F4791">
        <w:rPr>
          <w:rFonts w:asciiTheme="majorHAnsi" w:hAnsiTheme="majorHAnsi" w:cs="Arial"/>
        </w:rPr>
        <w:tab/>
      </w:r>
    </w:p>
    <w:p w14:paraId="7BFB8808" w14:textId="77777777" w:rsidR="004655F8" w:rsidRPr="005F4791" w:rsidRDefault="004655F8" w:rsidP="004655F8">
      <w:pPr>
        <w:rPr>
          <w:rFonts w:asciiTheme="majorHAnsi" w:hAnsiTheme="majorHAnsi" w:cs="Arial"/>
          <w:bCs/>
        </w:rPr>
      </w:pPr>
      <w:r w:rsidRPr="005F4791">
        <w:rPr>
          <w:rFonts w:asciiTheme="majorHAnsi" w:hAnsiTheme="majorHAnsi" w:cs="Arial"/>
          <w:bCs/>
        </w:rPr>
        <w:t>Office Hours:  By appointment</w:t>
      </w:r>
      <w:r w:rsidRPr="005F4791">
        <w:rPr>
          <w:rFonts w:asciiTheme="majorHAnsi" w:hAnsiTheme="majorHAnsi" w:cs="Arial"/>
          <w:bCs/>
        </w:rPr>
        <w:tab/>
      </w:r>
      <w:r w:rsidRPr="005F4791">
        <w:rPr>
          <w:rFonts w:asciiTheme="majorHAnsi" w:hAnsiTheme="majorHAnsi" w:cs="Arial"/>
          <w:bCs/>
        </w:rPr>
        <w:tab/>
      </w:r>
      <w:r w:rsidRPr="005F4791">
        <w:rPr>
          <w:rFonts w:asciiTheme="majorHAnsi" w:hAnsiTheme="majorHAnsi" w:cs="Arial"/>
          <w:bCs/>
        </w:rPr>
        <w:tab/>
      </w:r>
      <w:r w:rsidRPr="005F4791">
        <w:rPr>
          <w:rFonts w:asciiTheme="majorHAnsi" w:hAnsiTheme="majorHAnsi" w:cs="Arial"/>
          <w:bCs/>
        </w:rPr>
        <w:tab/>
      </w:r>
    </w:p>
    <w:p w14:paraId="7B9EA778" w14:textId="77777777" w:rsidR="004655F8" w:rsidRPr="005F4791" w:rsidRDefault="004655F8" w:rsidP="004655F8">
      <w:pPr>
        <w:rPr>
          <w:rFonts w:asciiTheme="majorHAnsi" w:hAnsiTheme="majorHAnsi" w:cs="Arial"/>
          <w:bCs/>
        </w:rPr>
      </w:pPr>
      <w:r w:rsidRPr="005F4791">
        <w:rPr>
          <w:rFonts w:asciiTheme="majorHAnsi" w:hAnsiTheme="majorHAnsi" w:cs="Arial"/>
          <w:bCs/>
        </w:rPr>
        <w:tab/>
      </w:r>
    </w:p>
    <w:p w14:paraId="108B9D82" w14:textId="77777777" w:rsidR="004655F8" w:rsidRPr="005F4791" w:rsidRDefault="004655F8" w:rsidP="004655F8">
      <w:pPr>
        <w:rPr>
          <w:rFonts w:asciiTheme="majorHAnsi" w:hAnsiTheme="majorHAnsi" w:cs="Arial"/>
          <w:b/>
          <w:bCs/>
          <w:u w:val="single"/>
        </w:rPr>
      </w:pPr>
      <w:r w:rsidRPr="005F4791">
        <w:rPr>
          <w:rFonts w:asciiTheme="majorHAnsi" w:hAnsiTheme="majorHAnsi" w:cs="Arial"/>
          <w:b/>
          <w:bCs/>
          <w:u w:val="single"/>
        </w:rPr>
        <w:t>Schedule</w:t>
      </w:r>
    </w:p>
    <w:p w14:paraId="572641E4" w14:textId="77777777" w:rsidR="004655F8" w:rsidRPr="005F4791" w:rsidRDefault="004655F8" w:rsidP="004655F8">
      <w:pPr>
        <w:rPr>
          <w:rFonts w:asciiTheme="majorHAnsi" w:hAnsiTheme="majorHAnsi" w:cs="Arial"/>
          <w:b/>
          <w:bCs/>
        </w:rPr>
      </w:pPr>
      <w:r>
        <w:rPr>
          <w:rFonts w:asciiTheme="majorHAnsi" w:hAnsiTheme="majorHAnsi" w:cs="Arial"/>
          <w:b/>
          <w:bCs/>
        </w:rPr>
        <w:t>Tuesdays</w:t>
      </w:r>
      <w:r w:rsidRPr="005F4791">
        <w:rPr>
          <w:rFonts w:asciiTheme="majorHAnsi" w:hAnsiTheme="majorHAnsi" w:cs="Arial"/>
          <w:b/>
          <w:bCs/>
        </w:rPr>
        <w:t xml:space="preserve">, </w:t>
      </w:r>
      <w:r>
        <w:rPr>
          <w:rFonts w:asciiTheme="majorHAnsi" w:hAnsiTheme="majorHAnsi" w:cs="Arial"/>
          <w:b/>
          <w:bCs/>
        </w:rPr>
        <w:t>1:00</w:t>
      </w:r>
      <w:r w:rsidRPr="005F4791">
        <w:rPr>
          <w:rFonts w:asciiTheme="majorHAnsi" w:hAnsiTheme="majorHAnsi" w:cs="Arial"/>
          <w:b/>
          <w:bCs/>
        </w:rPr>
        <w:t xml:space="preserve"> – </w:t>
      </w:r>
      <w:r>
        <w:rPr>
          <w:rFonts w:asciiTheme="majorHAnsi" w:hAnsiTheme="majorHAnsi" w:cs="Arial"/>
          <w:b/>
          <w:bCs/>
        </w:rPr>
        <w:t>4:00</w:t>
      </w:r>
    </w:p>
    <w:p w14:paraId="71BAB479" w14:textId="77777777" w:rsidR="004655F8" w:rsidRPr="005F4791" w:rsidRDefault="004655F8" w:rsidP="004655F8">
      <w:pPr>
        <w:rPr>
          <w:rFonts w:asciiTheme="majorHAnsi" w:hAnsiTheme="majorHAnsi" w:cs="Arial"/>
          <w:b/>
          <w:bCs/>
        </w:rPr>
      </w:pPr>
      <w:r>
        <w:rPr>
          <w:rFonts w:asciiTheme="majorHAnsi" w:hAnsiTheme="majorHAnsi" w:cs="Arial"/>
          <w:b/>
          <w:bCs/>
        </w:rPr>
        <w:t>LRDC 731</w:t>
      </w:r>
    </w:p>
    <w:p w14:paraId="22AA6E56" w14:textId="77777777" w:rsidR="004655F8" w:rsidRPr="005F4791" w:rsidRDefault="004655F8" w:rsidP="004655F8">
      <w:pPr>
        <w:rPr>
          <w:rFonts w:asciiTheme="majorHAnsi" w:hAnsiTheme="majorHAnsi" w:cs="Arial"/>
          <w:b/>
          <w:bCs/>
          <w:u w:val="single"/>
        </w:rPr>
      </w:pPr>
    </w:p>
    <w:p w14:paraId="7F578DC3" w14:textId="77777777" w:rsidR="004655F8" w:rsidRPr="005F4791" w:rsidRDefault="004655F8" w:rsidP="004655F8">
      <w:pPr>
        <w:rPr>
          <w:rFonts w:asciiTheme="majorHAnsi" w:hAnsiTheme="majorHAnsi" w:cs="Arial"/>
          <w:b/>
          <w:bCs/>
          <w:u w:val="single"/>
        </w:rPr>
      </w:pPr>
      <w:r w:rsidRPr="005F4791">
        <w:rPr>
          <w:rFonts w:asciiTheme="majorHAnsi" w:hAnsiTheme="majorHAnsi" w:cs="Arial"/>
          <w:b/>
          <w:bCs/>
          <w:u w:val="single"/>
        </w:rPr>
        <w:t>Course Description</w:t>
      </w:r>
    </w:p>
    <w:p w14:paraId="5CE67EB4" w14:textId="42D96DB8" w:rsidR="004655F8" w:rsidRPr="005F4791" w:rsidRDefault="004655F8" w:rsidP="004655F8">
      <w:pPr>
        <w:jc w:val="both"/>
        <w:rPr>
          <w:rFonts w:asciiTheme="majorHAnsi" w:hAnsiTheme="majorHAnsi"/>
        </w:rPr>
      </w:pPr>
      <w:r w:rsidRPr="005F4791">
        <w:rPr>
          <w:rFonts w:asciiTheme="majorHAnsi" w:hAnsiTheme="majorHAnsi"/>
        </w:rPr>
        <w:t>One way to see the act of education is that it is essentially about what occurs between teachers and learner</w:t>
      </w:r>
      <w:r>
        <w:rPr>
          <w:rFonts w:asciiTheme="majorHAnsi" w:hAnsiTheme="majorHAnsi"/>
        </w:rPr>
        <w:t>s</w:t>
      </w:r>
      <w:r w:rsidRPr="005F4791">
        <w:rPr>
          <w:rFonts w:asciiTheme="majorHAnsi" w:hAnsiTheme="majorHAnsi"/>
        </w:rPr>
        <w:t>.  In other words</w:t>
      </w:r>
      <w:r>
        <w:rPr>
          <w:rFonts w:asciiTheme="majorHAnsi" w:hAnsiTheme="majorHAnsi"/>
        </w:rPr>
        <w:t>,</w:t>
      </w:r>
      <w:r w:rsidRPr="005F4791">
        <w:rPr>
          <w:rFonts w:asciiTheme="majorHAnsi" w:hAnsiTheme="majorHAnsi"/>
        </w:rPr>
        <w:t xml:space="preserve"> the key unit of analysis is the classroom or activity structure. The classroom is important, but teaching and learning are also shaped by their context. Individuals are situated in organizations, which are situated in broader social, cultural, and political environments.  Consequently, reform and improvement efforts must not only take seriously individual factors, they must understand the ways in which individual action is enabled and constrained by organizational and environmental contexts.</w:t>
      </w:r>
    </w:p>
    <w:p w14:paraId="1197ABD1" w14:textId="6D8DC7F6" w:rsidR="004655F8" w:rsidRPr="005F4791" w:rsidRDefault="004655F8" w:rsidP="004655F8">
      <w:pPr>
        <w:jc w:val="both"/>
        <w:rPr>
          <w:rFonts w:asciiTheme="majorHAnsi" w:hAnsiTheme="majorHAnsi"/>
        </w:rPr>
      </w:pPr>
      <w:r w:rsidRPr="005F4791">
        <w:rPr>
          <w:rFonts w:asciiTheme="majorHAnsi" w:hAnsiTheme="majorHAnsi"/>
        </w:rPr>
        <w:t>This seminar will focus on schools as organizations drawing on theoretical and empirical work grounded in organizational theory. We will interrogate the institutional, organizational, and day-to-day contexts of work in schools. We also explore how reform efforts targeting organizational features can intervene and perhaps, improve teaching and learning.  In order to grapple with the concepts from the literature, students will analyze cases of organizational improvement efforts</w:t>
      </w:r>
      <w:r w:rsidR="00AE73C0">
        <w:rPr>
          <w:rFonts w:asciiTheme="majorHAnsi" w:hAnsiTheme="majorHAnsi"/>
        </w:rPr>
        <w:t>,</w:t>
      </w:r>
      <w:r w:rsidRPr="005F4791">
        <w:rPr>
          <w:rFonts w:asciiTheme="majorHAnsi" w:hAnsiTheme="majorHAnsi"/>
        </w:rPr>
        <w:t xml:space="preserve"> conduct a small study examining an improvement effort in a local educational organization</w:t>
      </w:r>
      <w:r w:rsidR="00AE73C0">
        <w:rPr>
          <w:rFonts w:asciiTheme="majorHAnsi" w:hAnsiTheme="majorHAnsi"/>
        </w:rPr>
        <w:t>, and develop an independent paper that applies an organizational perspective to a topic of interest</w:t>
      </w:r>
      <w:r w:rsidRPr="005F4791">
        <w:rPr>
          <w:rFonts w:asciiTheme="majorHAnsi" w:hAnsiTheme="majorHAnsi"/>
        </w:rPr>
        <w:t xml:space="preserve">.  </w:t>
      </w:r>
    </w:p>
    <w:p w14:paraId="02A71E09" w14:textId="77777777" w:rsidR="004655F8" w:rsidRPr="005F4791" w:rsidRDefault="004655F8" w:rsidP="004655F8">
      <w:pPr>
        <w:rPr>
          <w:rFonts w:asciiTheme="majorHAnsi" w:hAnsiTheme="majorHAnsi" w:cs="Arial"/>
          <w:b/>
          <w:u w:val="single"/>
        </w:rPr>
      </w:pPr>
      <w:r w:rsidRPr="005F4791">
        <w:rPr>
          <w:rFonts w:asciiTheme="majorHAnsi" w:hAnsiTheme="majorHAnsi" w:cs="Arial"/>
          <w:b/>
          <w:u w:val="single"/>
        </w:rPr>
        <w:t>Goals / Objectives</w:t>
      </w:r>
    </w:p>
    <w:p w14:paraId="60380015" w14:textId="39050840" w:rsidR="004655F8" w:rsidRPr="005F4791" w:rsidRDefault="004655F8" w:rsidP="004655F8">
      <w:pPr>
        <w:pStyle w:val="ColorfulList-Accent11"/>
        <w:numPr>
          <w:ilvl w:val="0"/>
          <w:numId w:val="1"/>
        </w:numPr>
        <w:spacing w:line="276" w:lineRule="auto"/>
        <w:rPr>
          <w:rFonts w:asciiTheme="majorHAnsi" w:hAnsiTheme="majorHAnsi"/>
        </w:rPr>
      </w:pPr>
      <w:r w:rsidRPr="005F4791">
        <w:rPr>
          <w:rFonts w:asciiTheme="majorHAnsi" w:hAnsiTheme="majorHAnsi"/>
        </w:rPr>
        <w:t>Students will demonstrate understanding of central organizational elements (e.g. core technology</w:t>
      </w:r>
      <w:r w:rsidR="00AE73C0">
        <w:rPr>
          <w:rFonts w:asciiTheme="majorHAnsi" w:hAnsiTheme="majorHAnsi"/>
        </w:rPr>
        <w:t>, human capital, social capital</w:t>
      </w:r>
      <w:r w:rsidRPr="005F4791">
        <w:rPr>
          <w:rFonts w:asciiTheme="majorHAnsi" w:hAnsiTheme="majorHAnsi"/>
        </w:rPr>
        <w:t>) through application to</w:t>
      </w:r>
      <w:r>
        <w:rPr>
          <w:rFonts w:asciiTheme="majorHAnsi" w:hAnsiTheme="majorHAnsi"/>
        </w:rPr>
        <w:t xml:space="preserve"> analysis of fictional and real-</w:t>
      </w:r>
      <w:r w:rsidRPr="005F4791">
        <w:rPr>
          <w:rFonts w:asciiTheme="majorHAnsi" w:hAnsiTheme="majorHAnsi"/>
        </w:rPr>
        <w:t>world organizational cases.</w:t>
      </w:r>
    </w:p>
    <w:p w14:paraId="5F68040A" w14:textId="58A6CFF4" w:rsidR="004655F8" w:rsidRPr="005F4791" w:rsidRDefault="004655F8" w:rsidP="004655F8">
      <w:pPr>
        <w:pStyle w:val="ColorfulList-Accent11"/>
        <w:numPr>
          <w:ilvl w:val="0"/>
          <w:numId w:val="1"/>
        </w:numPr>
        <w:spacing w:line="276" w:lineRule="auto"/>
        <w:rPr>
          <w:rFonts w:asciiTheme="majorHAnsi" w:hAnsiTheme="majorHAnsi"/>
        </w:rPr>
      </w:pPr>
      <w:r w:rsidRPr="005F4791">
        <w:rPr>
          <w:rFonts w:asciiTheme="majorHAnsi" w:hAnsiTheme="majorHAnsi"/>
        </w:rPr>
        <w:t>Students will demonstrate an understanding of how organizations are shaped by their cultural, political and institutional context through</w:t>
      </w:r>
      <w:r>
        <w:rPr>
          <w:rFonts w:asciiTheme="majorHAnsi" w:hAnsiTheme="majorHAnsi"/>
        </w:rPr>
        <w:t xml:space="preserve"> analysis of fictional and real-</w:t>
      </w:r>
      <w:r w:rsidRPr="005F4791">
        <w:rPr>
          <w:rFonts w:asciiTheme="majorHAnsi" w:hAnsiTheme="majorHAnsi"/>
        </w:rPr>
        <w:t>world organizational cases.</w:t>
      </w:r>
    </w:p>
    <w:p w14:paraId="346FDF61" w14:textId="77777777" w:rsidR="004655F8" w:rsidRPr="005F4791" w:rsidRDefault="004655F8" w:rsidP="004655F8">
      <w:pPr>
        <w:pStyle w:val="ColorfulList-Accent11"/>
        <w:numPr>
          <w:ilvl w:val="0"/>
          <w:numId w:val="1"/>
        </w:numPr>
        <w:spacing w:line="276" w:lineRule="auto"/>
        <w:rPr>
          <w:rFonts w:asciiTheme="majorHAnsi" w:hAnsiTheme="majorHAnsi"/>
        </w:rPr>
      </w:pPr>
      <w:r w:rsidRPr="005F4791">
        <w:rPr>
          <w:rFonts w:asciiTheme="majorHAnsi" w:hAnsiTheme="majorHAnsi"/>
        </w:rPr>
        <w:t>Students will evaluate different models for educational improvement (e.g. charter schools, organizational learning, collaboration and networks) through an organizational perspective</w:t>
      </w:r>
    </w:p>
    <w:p w14:paraId="4BBBB4D0" w14:textId="77777777" w:rsidR="00A00E84" w:rsidRDefault="00A00E84"/>
    <w:p w14:paraId="4D6D3C21" w14:textId="77777777" w:rsidR="004655F8" w:rsidRPr="005F4791" w:rsidRDefault="004655F8" w:rsidP="004655F8">
      <w:pPr>
        <w:rPr>
          <w:rFonts w:asciiTheme="majorHAnsi" w:hAnsiTheme="majorHAnsi" w:cs="Arial"/>
          <w:b/>
          <w:u w:val="single"/>
        </w:rPr>
      </w:pPr>
      <w:r w:rsidRPr="005F4791">
        <w:rPr>
          <w:rFonts w:asciiTheme="majorHAnsi" w:hAnsiTheme="majorHAnsi" w:cs="Arial"/>
          <w:b/>
          <w:u w:val="single"/>
        </w:rPr>
        <w:t>Course Requirements</w:t>
      </w:r>
    </w:p>
    <w:p w14:paraId="6C7904D0" w14:textId="032B66AC" w:rsidR="00F8130D" w:rsidRPr="005F4791" w:rsidRDefault="00F8130D" w:rsidP="00F8130D">
      <w:pPr>
        <w:jc w:val="both"/>
        <w:rPr>
          <w:rFonts w:asciiTheme="majorHAnsi" w:hAnsiTheme="majorHAnsi" w:cs="Arial"/>
        </w:rPr>
      </w:pPr>
      <w:r w:rsidRPr="005F4791">
        <w:rPr>
          <w:rFonts w:asciiTheme="majorHAnsi" w:hAnsiTheme="majorHAnsi" w:cs="Arial"/>
        </w:rPr>
        <w:t xml:space="preserve">Students are responsible for completing the weekly reading assignments and preparing to actively participate in class discussions. The first segments of the course will culminate in a case-based written analysis. Students are encouraged to form study groups to discuss readings and the preparation of the </w:t>
      </w:r>
      <w:r>
        <w:rPr>
          <w:rFonts w:asciiTheme="majorHAnsi" w:hAnsiTheme="majorHAnsi" w:cs="Arial"/>
        </w:rPr>
        <w:t>case</w:t>
      </w:r>
      <w:r w:rsidRPr="005F4791">
        <w:rPr>
          <w:rFonts w:asciiTheme="majorHAnsi" w:hAnsiTheme="majorHAnsi" w:cs="Arial"/>
        </w:rPr>
        <w:t xml:space="preserve">, but should write analyses individually. In addition, students will </w:t>
      </w:r>
      <w:r>
        <w:rPr>
          <w:rFonts w:asciiTheme="majorHAnsi" w:hAnsiTheme="majorHAnsi" w:cs="Arial"/>
        </w:rPr>
        <w:t xml:space="preserve">work in </w:t>
      </w:r>
      <w:r>
        <w:rPr>
          <w:rFonts w:asciiTheme="majorHAnsi" w:hAnsiTheme="majorHAnsi" w:cs="Arial"/>
        </w:rPr>
        <w:lastRenderedPageBreak/>
        <w:t xml:space="preserve">teams to analyze the organizational contexts relevant to an applied design project. Finally, students will develop a course paper that applies  </w:t>
      </w:r>
    </w:p>
    <w:p w14:paraId="79BA8A1B" w14:textId="77777777" w:rsidR="00F8130D" w:rsidRPr="005F4791" w:rsidRDefault="00F8130D" w:rsidP="00F8130D">
      <w:pPr>
        <w:rPr>
          <w:rFonts w:asciiTheme="majorHAnsi" w:hAnsiTheme="majorHAnsi" w:cs="Arial"/>
        </w:rPr>
      </w:pPr>
    </w:p>
    <w:p w14:paraId="04513967" w14:textId="63919808" w:rsidR="00F8130D" w:rsidRPr="005F4791" w:rsidRDefault="00F8130D" w:rsidP="00F8130D">
      <w:pPr>
        <w:rPr>
          <w:rFonts w:asciiTheme="majorHAnsi" w:hAnsiTheme="majorHAnsi" w:cs="Arial"/>
          <w:b/>
        </w:rPr>
      </w:pPr>
      <w:r w:rsidRPr="005F4791">
        <w:rPr>
          <w:rFonts w:asciiTheme="majorHAnsi" w:hAnsiTheme="majorHAnsi" w:cs="Arial"/>
          <w:u w:val="single"/>
        </w:rPr>
        <w:t>Assignment 1</w:t>
      </w:r>
      <w:r w:rsidRPr="005F4791">
        <w:rPr>
          <w:rFonts w:asciiTheme="majorHAnsi" w:hAnsiTheme="majorHAnsi" w:cs="Arial"/>
        </w:rPr>
        <w:t xml:space="preserve">: </w:t>
      </w:r>
      <w:r w:rsidRPr="005F4791">
        <w:rPr>
          <w:rFonts w:asciiTheme="majorHAnsi" w:hAnsiTheme="majorHAnsi" w:cs="Arial"/>
          <w:b/>
        </w:rPr>
        <w:t xml:space="preserve">Individual case analysis. </w:t>
      </w:r>
      <w:r w:rsidRPr="005F4791">
        <w:rPr>
          <w:rFonts w:asciiTheme="majorHAnsi" w:hAnsiTheme="majorHAnsi" w:cs="Arial"/>
        </w:rPr>
        <w:t xml:space="preserve">Students will write a </w:t>
      </w:r>
      <w:r>
        <w:rPr>
          <w:rFonts w:asciiTheme="majorHAnsi" w:hAnsiTheme="majorHAnsi" w:cs="Arial"/>
        </w:rPr>
        <w:t>4 to 5</w:t>
      </w:r>
      <w:r w:rsidRPr="005F4791">
        <w:rPr>
          <w:rFonts w:asciiTheme="majorHAnsi" w:hAnsiTheme="majorHAnsi" w:cs="Arial"/>
        </w:rPr>
        <w:t xml:space="preserve"> </w:t>
      </w:r>
      <w:r>
        <w:rPr>
          <w:rFonts w:asciiTheme="majorHAnsi" w:hAnsiTheme="majorHAnsi" w:cs="Arial"/>
        </w:rPr>
        <w:t>single</w:t>
      </w:r>
      <w:r w:rsidRPr="005F4791">
        <w:rPr>
          <w:rFonts w:asciiTheme="majorHAnsi" w:hAnsiTheme="majorHAnsi" w:cs="Arial"/>
        </w:rPr>
        <w:t xml:space="preserve">-spaced page analysis of </w:t>
      </w:r>
      <w:r w:rsidR="001D7022">
        <w:rPr>
          <w:rFonts w:asciiTheme="majorHAnsi" w:hAnsiTheme="majorHAnsi" w:cs="Arial"/>
        </w:rPr>
        <w:t>an</w:t>
      </w:r>
      <w:r w:rsidRPr="005F4791">
        <w:rPr>
          <w:rFonts w:asciiTheme="majorHAnsi" w:hAnsiTheme="majorHAnsi" w:cs="Arial"/>
        </w:rPr>
        <w:t xml:space="preserve"> assigned case</w:t>
      </w:r>
      <w:r w:rsidR="001D7022">
        <w:rPr>
          <w:rFonts w:asciiTheme="majorHAnsi" w:hAnsiTheme="majorHAnsi" w:cs="Arial"/>
        </w:rPr>
        <w:t>,</w:t>
      </w:r>
      <w:r w:rsidRPr="005F4791">
        <w:rPr>
          <w:rFonts w:asciiTheme="majorHAnsi" w:hAnsiTheme="majorHAnsi" w:cs="Arial"/>
        </w:rPr>
        <w:t xml:space="preserve"> drawing on the concepts from the first segment of the course. </w:t>
      </w:r>
      <w:r w:rsidRPr="00042A6E">
        <w:rPr>
          <w:rFonts w:asciiTheme="majorHAnsi" w:hAnsiTheme="majorHAnsi" w:cs="Arial"/>
          <w:b/>
        </w:rPr>
        <w:t xml:space="preserve">Due </w:t>
      </w:r>
      <w:r w:rsidR="00C806A7">
        <w:rPr>
          <w:rFonts w:asciiTheme="majorHAnsi" w:hAnsiTheme="majorHAnsi" w:cs="Arial"/>
          <w:b/>
        </w:rPr>
        <w:t>Oct. 9</w:t>
      </w:r>
    </w:p>
    <w:p w14:paraId="3B13E72E" w14:textId="77777777" w:rsidR="00F8130D" w:rsidRPr="005F4791" w:rsidRDefault="00F8130D" w:rsidP="00F8130D">
      <w:pPr>
        <w:rPr>
          <w:rFonts w:asciiTheme="majorHAnsi" w:hAnsiTheme="majorHAnsi" w:cs="Arial"/>
          <w:u w:val="single"/>
        </w:rPr>
      </w:pPr>
    </w:p>
    <w:p w14:paraId="005B8341" w14:textId="38DE9783" w:rsidR="001D7022" w:rsidRPr="001D7022" w:rsidRDefault="00F8130D" w:rsidP="00C806A7">
      <w:pPr>
        <w:rPr>
          <w:rFonts w:asciiTheme="majorHAnsi" w:hAnsiTheme="majorHAnsi" w:cs="Arial"/>
        </w:rPr>
      </w:pPr>
      <w:r w:rsidRPr="00515770">
        <w:rPr>
          <w:rFonts w:asciiTheme="majorHAnsi" w:hAnsiTheme="majorHAnsi" w:cs="Arial"/>
          <w:u w:val="single"/>
        </w:rPr>
        <w:t>Assignment 2</w:t>
      </w:r>
      <w:r w:rsidRPr="00515770">
        <w:rPr>
          <w:rFonts w:asciiTheme="majorHAnsi" w:hAnsiTheme="majorHAnsi" w:cs="Arial"/>
        </w:rPr>
        <w:t xml:space="preserve">: </w:t>
      </w:r>
      <w:r w:rsidR="00C806A7">
        <w:rPr>
          <w:rFonts w:asciiTheme="majorHAnsi" w:hAnsiTheme="majorHAnsi" w:cs="Arial"/>
          <w:b/>
        </w:rPr>
        <w:t>O</w:t>
      </w:r>
      <w:r w:rsidR="00C806A7" w:rsidRPr="00515770">
        <w:rPr>
          <w:rFonts w:asciiTheme="majorHAnsi" w:hAnsiTheme="majorHAnsi" w:cs="Arial"/>
          <w:b/>
        </w:rPr>
        <w:t>rganizational analysis and presentations</w:t>
      </w:r>
      <w:r w:rsidR="00C806A7" w:rsidRPr="00515770">
        <w:rPr>
          <w:rFonts w:asciiTheme="majorHAnsi" w:hAnsiTheme="majorHAnsi" w:cs="Arial"/>
        </w:rPr>
        <w:t xml:space="preserve">. Students will complete original research in an organization undergoing a design-based improvement effort. </w:t>
      </w:r>
      <w:r w:rsidR="00C806A7">
        <w:rPr>
          <w:rFonts w:asciiTheme="majorHAnsi" w:hAnsiTheme="majorHAnsi" w:cs="Arial"/>
        </w:rPr>
        <w:t xml:space="preserve">Students </w:t>
      </w:r>
      <w:r w:rsidR="00C806A7" w:rsidRPr="00515770">
        <w:rPr>
          <w:rFonts w:asciiTheme="majorHAnsi" w:hAnsiTheme="majorHAnsi" w:cs="Arial"/>
        </w:rPr>
        <w:t xml:space="preserve">will collect primary and secondary data, analyze data, and present findings in oral and written formats. </w:t>
      </w:r>
      <w:r w:rsidR="00C806A7">
        <w:rPr>
          <w:rFonts w:asciiTheme="majorHAnsi" w:hAnsiTheme="majorHAnsi" w:cs="Arial"/>
          <w:b/>
        </w:rPr>
        <w:t>P</w:t>
      </w:r>
      <w:r w:rsidR="00C806A7" w:rsidRPr="00515770">
        <w:rPr>
          <w:rFonts w:asciiTheme="majorHAnsi" w:hAnsiTheme="majorHAnsi" w:cs="Arial"/>
          <w:b/>
        </w:rPr>
        <w:t>resentations</w:t>
      </w:r>
      <w:r w:rsidR="00C806A7">
        <w:rPr>
          <w:rFonts w:asciiTheme="majorHAnsi" w:hAnsiTheme="majorHAnsi" w:cs="Arial"/>
          <w:b/>
        </w:rPr>
        <w:t xml:space="preserve"> </w:t>
      </w:r>
      <w:r w:rsidR="00AF3D8D">
        <w:rPr>
          <w:rFonts w:asciiTheme="majorHAnsi" w:hAnsiTheme="majorHAnsi" w:cs="Arial"/>
          <w:b/>
        </w:rPr>
        <w:t xml:space="preserve">(Nov. 20) </w:t>
      </w:r>
      <w:r w:rsidR="00C806A7">
        <w:rPr>
          <w:rFonts w:asciiTheme="majorHAnsi" w:hAnsiTheme="majorHAnsi" w:cs="Arial"/>
          <w:b/>
        </w:rPr>
        <w:t>&amp; Memos</w:t>
      </w:r>
      <w:r w:rsidR="00C806A7" w:rsidRPr="00515770">
        <w:rPr>
          <w:rFonts w:asciiTheme="majorHAnsi" w:hAnsiTheme="majorHAnsi" w:cs="Arial"/>
          <w:b/>
        </w:rPr>
        <w:t xml:space="preserve"> </w:t>
      </w:r>
      <w:r w:rsidR="00C806A7">
        <w:rPr>
          <w:rFonts w:asciiTheme="majorHAnsi" w:hAnsiTheme="majorHAnsi" w:cs="Arial"/>
          <w:b/>
        </w:rPr>
        <w:t>Due Nov. 2</w:t>
      </w:r>
      <w:r w:rsidR="00AF3D8D">
        <w:rPr>
          <w:rFonts w:asciiTheme="majorHAnsi" w:hAnsiTheme="majorHAnsi" w:cs="Arial"/>
          <w:b/>
        </w:rPr>
        <w:t>7</w:t>
      </w:r>
    </w:p>
    <w:p w14:paraId="4BC4825F" w14:textId="77777777" w:rsidR="00F8130D" w:rsidRPr="00515770" w:rsidRDefault="00F8130D" w:rsidP="00F8130D">
      <w:pPr>
        <w:rPr>
          <w:rFonts w:asciiTheme="majorHAnsi" w:hAnsiTheme="majorHAnsi" w:cs="Arial"/>
          <w:u w:val="single"/>
        </w:rPr>
      </w:pPr>
    </w:p>
    <w:p w14:paraId="29B48CB5" w14:textId="028AF63C" w:rsidR="00BC0D30" w:rsidRDefault="00F8130D" w:rsidP="00C806A7">
      <w:pPr>
        <w:rPr>
          <w:rFonts w:asciiTheme="majorHAnsi" w:hAnsiTheme="majorHAnsi" w:cs="Arial"/>
        </w:rPr>
      </w:pPr>
      <w:r w:rsidRPr="00515770">
        <w:rPr>
          <w:rFonts w:asciiTheme="majorHAnsi" w:hAnsiTheme="majorHAnsi" w:cs="Arial"/>
          <w:u w:val="single"/>
        </w:rPr>
        <w:t>Assignment 3:</w:t>
      </w:r>
      <w:r w:rsidRPr="00515770">
        <w:rPr>
          <w:rFonts w:asciiTheme="majorHAnsi" w:hAnsiTheme="majorHAnsi" w:cs="Arial"/>
        </w:rPr>
        <w:t xml:space="preserve"> </w:t>
      </w:r>
      <w:r w:rsidR="00C806A7">
        <w:rPr>
          <w:rFonts w:asciiTheme="majorHAnsi" w:hAnsiTheme="majorHAnsi" w:cs="Arial"/>
          <w:b/>
        </w:rPr>
        <w:t xml:space="preserve">Individual paper. </w:t>
      </w:r>
      <w:r w:rsidR="00C806A7">
        <w:rPr>
          <w:rFonts w:asciiTheme="majorHAnsi" w:hAnsiTheme="majorHAnsi" w:cs="Arial"/>
        </w:rPr>
        <w:t xml:space="preserve">Students will synthesize and apply course readings to analyze an issue relevant to their research interests. </w:t>
      </w:r>
      <w:r w:rsidR="00BC0D30">
        <w:rPr>
          <w:rFonts w:asciiTheme="majorHAnsi" w:hAnsiTheme="majorHAnsi" w:cs="Arial"/>
        </w:rPr>
        <w:t>How do the organizational theory concepts help you think about your research topics of interest?</w:t>
      </w:r>
    </w:p>
    <w:p w14:paraId="65D3F8DB" w14:textId="77777777" w:rsidR="00BC0D30" w:rsidRDefault="00BC0D30" w:rsidP="00C806A7">
      <w:pPr>
        <w:rPr>
          <w:rFonts w:asciiTheme="majorHAnsi" w:hAnsiTheme="majorHAnsi" w:cs="Arial"/>
        </w:rPr>
      </w:pPr>
    </w:p>
    <w:p w14:paraId="1650CD9B" w14:textId="0E86D632" w:rsidR="00C806A7" w:rsidRDefault="00C806A7" w:rsidP="00C806A7">
      <w:pPr>
        <w:rPr>
          <w:rFonts w:asciiTheme="majorHAnsi" w:hAnsiTheme="majorHAnsi" w:cs="Arial"/>
        </w:rPr>
      </w:pPr>
      <w:r>
        <w:rPr>
          <w:rFonts w:asciiTheme="majorHAnsi" w:hAnsiTheme="majorHAnsi" w:cs="Arial"/>
        </w:rPr>
        <w:t>The assignment will unfold in three parts:</w:t>
      </w:r>
    </w:p>
    <w:p w14:paraId="34EC7014" w14:textId="3DA2D109" w:rsidR="00C806A7" w:rsidRDefault="00C806A7" w:rsidP="00C806A7">
      <w:pPr>
        <w:pStyle w:val="ListParagraph"/>
        <w:numPr>
          <w:ilvl w:val="0"/>
          <w:numId w:val="5"/>
        </w:numPr>
        <w:rPr>
          <w:rFonts w:asciiTheme="majorHAnsi" w:hAnsiTheme="majorHAnsi" w:cs="Arial"/>
        </w:rPr>
      </w:pPr>
      <w:r>
        <w:rPr>
          <w:rFonts w:asciiTheme="majorHAnsi" w:hAnsiTheme="majorHAnsi" w:cs="Arial"/>
        </w:rPr>
        <w:t xml:space="preserve">Paper concept – </w:t>
      </w:r>
      <w:r w:rsidR="00BC0D30">
        <w:rPr>
          <w:rFonts w:asciiTheme="majorHAnsi" w:hAnsiTheme="majorHAnsi" w:cs="Arial"/>
        </w:rPr>
        <w:t>3 or 4 sentence</w:t>
      </w:r>
      <w:r>
        <w:rPr>
          <w:rFonts w:asciiTheme="majorHAnsi" w:hAnsiTheme="majorHAnsi" w:cs="Arial"/>
        </w:rPr>
        <w:t xml:space="preserve"> overview of your idea for applying an organizational perspective to a topic of interest </w:t>
      </w:r>
      <w:r w:rsidRPr="001D7022">
        <w:rPr>
          <w:rFonts w:asciiTheme="majorHAnsi" w:hAnsiTheme="majorHAnsi" w:cs="Arial"/>
          <w:b/>
        </w:rPr>
        <w:t>Due</w:t>
      </w:r>
      <w:r>
        <w:rPr>
          <w:rFonts w:asciiTheme="majorHAnsi" w:hAnsiTheme="majorHAnsi" w:cs="Arial"/>
          <w:b/>
        </w:rPr>
        <w:t xml:space="preserve"> Oct. 2</w:t>
      </w:r>
      <w:r w:rsidR="002D01E8">
        <w:rPr>
          <w:rFonts w:asciiTheme="majorHAnsi" w:hAnsiTheme="majorHAnsi" w:cs="Arial"/>
          <w:b/>
        </w:rPr>
        <w:t>3</w:t>
      </w:r>
    </w:p>
    <w:p w14:paraId="6D946EA7" w14:textId="0C759DBB" w:rsidR="00C806A7" w:rsidRDefault="00C806A7" w:rsidP="00C806A7">
      <w:pPr>
        <w:pStyle w:val="ListParagraph"/>
        <w:numPr>
          <w:ilvl w:val="0"/>
          <w:numId w:val="5"/>
        </w:numPr>
        <w:rPr>
          <w:rFonts w:asciiTheme="majorHAnsi" w:hAnsiTheme="majorHAnsi" w:cs="Arial"/>
        </w:rPr>
      </w:pPr>
      <w:r>
        <w:rPr>
          <w:rFonts w:asciiTheme="majorHAnsi" w:hAnsiTheme="majorHAnsi" w:cs="Arial"/>
        </w:rPr>
        <w:t xml:space="preserve">Paper outline – Detailed outline for the paper </w:t>
      </w:r>
      <w:r w:rsidRPr="001D7022">
        <w:rPr>
          <w:rFonts w:asciiTheme="majorHAnsi" w:hAnsiTheme="majorHAnsi" w:cs="Arial"/>
          <w:b/>
        </w:rPr>
        <w:t>Due</w:t>
      </w:r>
      <w:r>
        <w:rPr>
          <w:rFonts w:asciiTheme="majorHAnsi" w:hAnsiTheme="majorHAnsi" w:cs="Arial"/>
          <w:b/>
        </w:rPr>
        <w:t xml:space="preserve"> Nov. 13</w:t>
      </w:r>
    </w:p>
    <w:p w14:paraId="7265F021" w14:textId="674B9990" w:rsidR="00C806A7" w:rsidRPr="001D7022" w:rsidRDefault="00C806A7" w:rsidP="00C806A7">
      <w:pPr>
        <w:pStyle w:val="ListParagraph"/>
        <w:numPr>
          <w:ilvl w:val="0"/>
          <w:numId w:val="5"/>
        </w:numPr>
        <w:rPr>
          <w:rFonts w:asciiTheme="majorHAnsi" w:hAnsiTheme="majorHAnsi" w:cs="Arial"/>
        </w:rPr>
      </w:pPr>
      <w:r>
        <w:rPr>
          <w:rFonts w:asciiTheme="majorHAnsi" w:hAnsiTheme="majorHAnsi" w:cs="Arial"/>
        </w:rPr>
        <w:t>Final paper and presentation – 1</w:t>
      </w:r>
      <w:r w:rsidR="00E30922">
        <w:rPr>
          <w:rFonts w:asciiTheme="majorHAnsi" w:hAnsiTheme="majorHAnsi" w:cs="Arial"/>
        </w:rPr>
        <w:t>0</w:t>
      </w:r>
      <w:r>
        <w:rPr>
          <w:rFonts w:asciiTheme="majorHAnsi" w:hAnsiTheme="majorHAnsi" w:cs="Arial"/>
        </w:rPr>
        <w:t xml:space="preserve">-20 page paper and 10 minutes presentation </w:t>
      </w:r>
      <w:r w:rsidRPr="001D7022">
        <w:rPr>
          <w:rFonts w:asciiTheme="majorHAnsi" w:hAnsiTheme="majorHAnsi" w:cs="Arial"/>
          <w:b/>
        </w:rPr>
        <w:t xml:space="preserve">Due </w:t>
      </w:r>
      <w:r>
        <w:rPr>
          <w:rFonts w:asciiTheme="majorHAnsi" w:hAnsiTheme="majorHAnsi" w:cs="Arial"/>
          <w:b/>
        </w:rPr>
        <w:t>Dec. 11</w:t>
      </w:r>
    </w:p>
    <w:p w14:paraId="4CCA4470" w14:textId="61DC9FDD" w:rsidR="00F8130D" w:rsidRPr="00515770" w:rsidRDefault="00F8130D" w:rsidP="00F8130D">
      <w:pPr>
        <w:pStyle w:val="MediumGrid1-Accent21"/>
        <w:ind w:left="0"/>
        <w:rPr>
          <w:rFonts w:asciiTheme="majorHAnsi" w:hAnsiTheme="majorHAnsi" w:cs="Arial"/>
          <w:b/>
        </w:rPr>
      </w:pPr>
    </w:p>
    <w:p w14:paraId="06B052EF" w14:textId="77777777" w:rsidR="00F8130D" w:rsidRPr="00515770" w:rsidRDefault="00F8130D" w:rsidP="00F8130D">
      <w:pPr>
        <w:pStyle w:val="MediumGrid1-Accent21"/>
        <w:ind w:left="0"/>
        <w:rPr>
          <w:rFonts w:asciiTheme="majorHAnsi" w:hAnsiTheme="majorHAnsi" w:cs="Arial"/>
        </w:rPr>
      </w:pPr>
    </w:p>
    <w:p w14:paraId="356A50EC" w14:textId="3E374118" w:rsidR="00F8130D" w:rsidRDefault="00F8130D" w:rsidP="00F8130D">
      <w:pPr>
        <w:rPr>
          <w:rFonts w:asciiTheme="majorHAnsi" w:hAnsiTheme="majorHAnsi" w:cs="Arial"/>
        </w:rPr>
      </w:pPr>
      <w:r w:rsidRPr="00515770">
        <w:rPr>
          <w:rFonts w:asciiTheme="majorHAnsi" w:hAnsiTheme="majorHAnsi" w:cs="Arial"/>
        </w:rPr>
        <w:t>Grades will be determined by class attendance, active participation in class discussion (</w:t>
      </w:r>
      <w:r w:rsidR="00C806A7">
        <w:rPr>
          <w:rFonts w:asciiTheme="majorHAnsi" w:hAnsiTheme="majorHAnsi" w:cs="Arial"/>
        </w:rPr>
        <w:t>1</w:t>
      </w:r>
      <w:r w:rsidRPr="00515770">
        <w:rPr>
          <w:rFonts w:asciiTheme="majorHAnsi" w:hAnsiTheme="majorHAnsi" w:cs="Arial"/>
        </w:rPr>
        <w:t>5%), by the quality and timely completion of the individual case analyses (</w:t>
      </w:r>
      <w:r w:rsidR="00C806A7">
        <w:rPr>
          <w:rFonts w:asciiTheme="majorHAnsi" w:hAnsiTheme="majorHAnsi" w:cs="Arial"/>
        </w:rPr>
        <w:t>1</w:t>
      </w:r>
      <w:r w:rsidRPr="00515770">
        <w:rPr>
          <w:rFonts w:asciiTheme="majorHAnsi" w:hAnsiTheme="majorHAnsi" w:cs="Arial"/>
        </w:rPr>
        <w:t xml:space="preserve">5%), </w:t>
      </w:r>
      <w:r w:rsidR="00E30922">
        <w:rPr>
          <w:rFonts w:asciiTheme="majorHAnsi" w:hAnsiTheme="majorHAnsi" w:cs="Arial"/>
        </w:rPr>
        <w:t xml:space="preserve">group </w:t>
      </w:r>
      <w:r>
        <w:rPr>
          <w:rFonts w:asciiTheme="majorHAnsi" w:hAnsiTheme="majorHAnsi" w:cs="Arial"/>
        </w:rPr>
        <w:t>organizational</w:t>
      </w:r>
      <w:r w:rsidRPr="00515770">
        <w:rPr>
          <w:rFonts w:asciiTheme="majorHAnsi" w:hAnsiTheme="majorHAnsi" w:cs="Arial"/>
        </w:rPr>
        <w:t xml:space="preserve"> analysis and presentation (2</w:t>
      </w:r>
      <w:r w:rsidR="00C806A7">
        <w:rPr>
          <w:rFonts w:asciiTheme="majorHAnsi" w:hAnsiTheme="majorHAnsi" w:cs="Arial"/>
        </w:rPr>
        <w:t>0</w:t>
      </w:r>
      <w:r w:rsidR="00E30922">
        <w:rPr>
          <w:rFonts w:asciiTheme="majorHAnsi" w:hAnsiTheme="majorHAnsi" w:cs="Arial"/>
        </w:rPr>
        <w:t>%), and individual paper and presentation (50%)</w:t>
      </w:r>
    </w:p>
    <w:p w14:paraId="68C907C3" w14:textId="77777777" w:rsidR="00E30922" w:rsidRDefault="00E30922" w:rsidP="00F8130D">
      <w:pPr>
        <w:rPr>
          <w:rFonts w:asciiTheme="majorHAnsi" w:hAnsiTheme="majorHAnsi" w:cs="Arial"/>
        </w:rPr>
      </w:pPr>
    </w:p>
    <w:p w14:paraId="4AAF4D1E" w14:textId="6700C827" w:rsidR="00F8130D" w:rsidRPr="005F4791" w:rsidRDefault="00F8130D" w:rsidP="00F8130D">
      <w:pPr>
        <w:rPr>
          <w:rFonts w:asciiTheme="majorHAnsi" w:hAnsiTheme="majorHAnsi" w:cs="Arial"/>
        </w:rPr>
      </w:pPr>
      <w:r w:rsidRPr="005F4791">
        <w:rPr>
          <w:rFonts w:asciiTheme="majorHAnsi" w:hAnsiTheme="majorHAnsi" w:cs="Arial"/>
        </w:rPr>
        <w:t xml:space="preserve">Students should notify the instructor in advance of absences whenever possible. In order to avoid a deduction in participation points when absent, students should prepare a 2- to 3-page memo that summarizes and reacts to the assigned course readings. The memo and other assignments (if applicable) should be emailed to the instructor before the next course session. Absences greater than two will result in a reduction in participation points regardless of memo completion.  A rubric will be provided in advance that outlines the </w:t>
      </w:r>
      <w:r w:rsidR="00E30922">
        <w:rPr>
          <w:rFonts w:asciiTheme="majorHAnsi" w:hAnsiTheme="majorHAnsi" w:cs="Arial"/>
        </w:rPr>
        <w:t xml:space="preserve">grading for the individual case, </w:t>
      </w:r>
      <w:r w:rsidRPr="005F4791">
        <w:rPr>
          <w:rFonts w:asciiTheme="majorHAnsi" w:hAnsiTheme="majorHAnsi" w:cs="Arial"/>
        </w:rPr>
        <w:t>organization</w:t>
      </w:r>
      <w:r w:rsidR="00E30922">
        <w:rPr>
          <w:rFonts w:asciiTheme="majorHAnsi" w:hAnsiTheme="majorHAnsi" w:cs="Arial"/>
        </w:rPr>
        <w:t>al</w:t>
      </w:r>
      <w:r w:rsidRPr="005F4791">
        <w:rPr>
          <w:rFonts w:asciiTheme="majorHAnsi" w:hAnsiTheme="majorHAnsi" w:cs="Arial"/>
        </w:rPr>
        <w:t xml:space="preserve"> analysis</w:t>
      </w:r>
      <w:r w:rsidR="00E30922">
        <w:rPr>
          <w:rFonts w:asciiTheme="majorHAnsi" w:hAnsiTheme="majorHAnsi" w:cs="Arial"/>
        </w:rPr>
        <w:t>, and final paper</w:t>
      </w:r>
      <w:r w:rsidRPr="005F4791">
        <w:rPr>
          <w:rFonts w:asciiTheme="majorHAnsi" w:hAnsiTheme="majorHAnsi" w:cs="Arial"/>
        </w:rPr>
        <w:t>.</w:t>
      </w:r>
    </w:p>
    <w:p w14:paraId="422E5A81" w14:textId="77777777" w:rsidR="00F8130D" w:rsidRPr="005F4791" w:rsidRDefault="00F8130D" w:rsidP="00F8130D">
      <w:pPr>
        <w:rPr>
          <w:rFonts w:asciiTheme="majorHAnsi" w:hAnsiTheme="majorHAnsi" w:cs="Arial"/>
        </w:rPr>
      </w:pPr>
    </w:p>
    <w:p w14:paraId="0752E234" w14:textId="77777777" w:rsidR="00F8130D" w:rsidRDefault="00F8130D" w:rsidP="00F8130D">
      <w:pPr>
        <w:rPr>
          <w:rFonts w:asciiTheme="majorHAnsi" w:hAnsiTheme="majorHAnsi" w:cs="Arial"/>
        </w:rPr>
      </w:pPr>
      <w:r w:rsidRPr="005F4791">
        <w:rPr>
          <w:rFonts w:asciiTheme="majorHAnsi" w:hAnsiTheme="majorHAnsi" w:cs="Arial"/>
        </w:rPr>
        <w:t>The statements contained in this syllabus, other than the grading policies, may be subject to change with reasonable advance notice as deemed acceptable by the instructors.</w:t>
      </w:r>
    </w:p>
    <w:p w14:paraId="6670B45A" w14:textId="77777777" w:rsidR="004D77A6" w:rsidRPr="005F4791" w:rsidRDefault="004D77A6" w:rsidP="00F8130D">
      <w:pPr>
        <w:rPr>
          <w:rFonts w:asciiTheme="majorHAnsi" w:hAnsiTheme="majorHAnsi" w:cs="Arial"/>
        </w:rPr>
      </w:pPr>
    </w:p>
    <w:p w14:paraId="6D5D42C9" w14:textId="1CEA0635" w:rsidR="004655F8" w:rsidRPr="005F4791" w:rsidRDefault="004655F8" w:rsidP="004655F8">
      <w:pPr>
        <w:rPr>
          <w:rFonts w:asciiTheme="majorHAnsi" w:hAnsiTheme="majorHAnsi" w:cs="Arial"/>
          <w:b/>
          <w:u w:val="single"/>
        </w:rPr>
      </w:pPr>
      <w:r>
        <w:rPr>
          <w:rFonts w:asciiTheme="majorHAnsi" w:hAnsiTheme="majorHAnsi" w:cs="Arial"/>
          <w:b/>
          <w:u w:val="single"/>
        </w:rPr>
        <w:t>Required Texts</w:t>
      </w:r>
    </w:p>
    <w:p w14:paraId="2DD8078A" w14:textId="77777777" w:rsidR="004655F8" w:rsidRPr="005F4791" w:rsidRDefault="004655F8" w:rsidP="004655F8">
      <w:pPr>
        <w:rPr>
          <w:rFonts w:asciiTheme="majorHAnsi" w:hAnsiTheme="majorHAnsi" w:cs="Arial"/>
          <w:color w:val="000000"/>
        </w:rPr>
      </w:pPr>
      <w:r w:rsidRPr="005F4791">
        <w:rPr>
          <w:rFonts w:asciiTheme="majorHAnsi" w:hAnsiTheme="majorHAnsi" w:cs="Arial"/>
          <w:color w:val="000000"/>
        </w:rPr>
        <w:t>Please purchase/obtain a copy of the following books:</w:t>
      </w:r>
    </w:p>
    <w:p w14:paraId="53A60FF9" w14:textId="77777777" w:rsidR="004655F8" w:rsidRPr="005F4791" w:rsidRDefault="004655F8" w:rsidP="004655F8">
      <w:pPr>
        <w:numPr>
          <w:ilvl w:val="0"/>
          <w:numId w:val="2"/>
        </w:numPr>
        <w:rPr>
          <w:rFonts w:asciiTheme="majorHAnsi" w:hAnsiTheme="majorHAnsi" w:cs="Arial"/>
          <w:color w:val="000000"/>
        </w:rPr>
      </w:pPr>
      <w:r w:rsidRPr="005F4791">
        <w:rPr>
          <w:rFonts w:asciiTheme="majorHAnsi" w:hAnsiTheme="majorHAnsi" w:cs="Arial"/>
        </w:rPr>
        <w:t xml:space="preserve">Scott, W. R., &amp; Davis, G. F. (2007). </w:t>
      </w:r>
      <w:r w:rsidRPr="005F4791">
        <w:rPr>
          <w:rFonts w:asciiTheme="majorHAnsi" w:hAnsiTheme="majorHAnsi" w:cs="Arial"/>
          <w:i/>
          <w:iCs/>
        </w:rPr>
        <w:t>Organizations and organizing: Rational, natural, and open system perspectives</w:t>
      </w:r>
      <w:r w:rsidRPr="005F4791">
        <w:rPr>
          <w:rFonts w:asciiTheme="majorHAnsi" w:hAnsiTheme="majorHAnsi" w:cs="Arial"/>
        </w:rPr>
        <w:t xml:space="preserve">: Pearson </w:t>
      </w:r>
      <w:r w:rsidRPr="005F4791">
        <w:rPr>
          <w:rFonts w:asciiTheme="majorHAnsi" w:hAnsiTheme="majorHAnsi" w:cs="Arial"/>
          <w:color w:val="000000"/>
        </w:rPr>
        <w:t>Prentice Hall.</w:t>
      </w:r>
    </w:p>
    <w:p w14:paraId="24BFB14E" w14:textId="77777777" w:rsidR="004655F8" w:rsidRPr="005F4791" w:rsidRDefault="004655F8" w:rsidP="004655F8">
      <w:pPr>
        <w:pStyle w:val="ListParagraph"/>
        <w:numPr>
          <w:ilvl w:val="0"/>
          <w:numId w:val="2"/>
        </w:numPr>
        <w:rPr>
          <w:rFonts w:asciiTheme="majorHAnsi" w:hAnsiTheme="majorHAnsi"/>
        </w:rPr>
      </w:pPr>
      <w:r w:rsidRPr="005F4791">
        <w:rPr>
          <w:rFonts w:asciiTheme="majorHAnsi" w:hAnsiTheme="majorHAnsi"/>
        </w:rPr>
        <w:t xml:space="preserve">Bryk, A., Easton, J. Q., Sebring, P. D., </w:t>
      </w:r>
      <w:proofErr w:type="spellStart"/>
      <w:r w:rsidRPr="005F4791">
        <w:rPr>
          <w:rFonts w:asciiTheme="majorHAnsi" w:hAnsiTheme="majorHAnsi"/>
        </w:rPr>
        <w:t>Allensworth</w:t>
      </w:r>
      <w:proofErr w:type="spellEnd"/>
      <w:r w:rsidRPr="005F4791">
        <w:rPr>
          <w:rFonts w:asciiTheme="majorHAnsi" w:hAnsiTheme="majorHAnsi"/>
        </w:rPr>
        <w:t xml:space="preserve">, A. &amp; </w:t>
      </w:r>
      <w:proofErr w:type="spellStart"/>
      <w:r w:rsidRPr="005F4791">
        <w:rPr>
          <w:rFonts w:asciiTheme="majorHAnsi" w:hAnsiTheme="majorHAnsi"/>
        </w:rPr>
        <w:t>Luppescu</w:t>
      </w:r>
      <w:proofErr w:type="spellEnd"/>
      <w:r w:rsidRPr="005F4791">
        <w:rPr>
          <w:rFonts w:asciiTheme="majorHAnsi" w:hAnsiTheme="majorHAnsi"/>
        </w:rPr>
        <w:t xml:space="preserve">, S. (2011). </w:t>
      </w:r>
      <w:r w:rsidRPr="005F4791">
        <w:rPr>
          <w:rFonts w:asciiTheme="majorHAnsi" w:hAnsiTheme="majorHAnsi"/>
          <w:i/>
        </w:rPr>
        <w:t>Organizing for school improvement: Lessons from Chicago</w:t>
      </w:r>
      <w:r w:rsidRPr="005F4791">
        <w:rPr>
          <w:rFonts w:asciiTheme="majorHAnsi" w:hAnsiTheme="majorHAnsi"/>
        </w:rPr>
        <w:t xml:space="preserve">. Chicago: University of Chicago Press. </w:t>
      </w:r>
    </w:p>
    <w:p w14:paraId="6901BBC0" w14:textId="77777777" w:rsidR="004655F8" w:rsidRPr="005F4791" w:rsidRDefault="004655F8" w:rsidP="004655F8">
      <w:pPr>
        <w:rPr>
          <w:rFonts w:asciiTheme="majorHAnsi" w:hAnsiTheme="majorHAnsi"/>
        </w:rPr>
      </w:pPr>
    </w:p>
    <w:p w14:paraId="72A8A0D1" w14:textId="516C3A5A" w:rsidR="004655F8" w:rsidRDefault="004655F8" w:rsidP="009D50F3">
      <w:pPr>
        <w:rPr>
          <w:rFonts w:asciiTheme="majorHAnsi" w:hAnsiTheme="majorHAnsi" w:cs="Arial"/>
        </w:rPr>
      </w:pPr>
      <w:r w:rsidRPr="005F4791">
        <w:rPr>
          <w:rFonts w:asciiTheme="majorHAnsi" w:hAnsiTheme="majorHAnsi" w:cs="Arial"/>
        </w:rPr>
        <w:t xml:space="preserve">All other assigned readings will be made available on-line through </w:t>
      </w:r>
      <w:proofErr w:type="spellStart"/>
      <w:r w:rsidRPr="005F4791">
        <w:rPr>
          <w:rFonts w:asciiTheme="majorHAnsi" w:hAnsiTheme="majorHAnsi" w:cs="Arial"/>
        </w:rPr>
        <w:t>CourseWeb</w:t>
      </w:r>
      <w:proofErr w:type="spellEnd"/>
      <w:r w:rsidRPr="005F4791">
        <w:rPr>
          <w:rFonts w:asciiTheme="majorHAnsi" w:hAnsiTheme="majorHAnsi" w:cs="Arial"/>
        </w:rPr>
        <w:t>.</w:t>
      </w:r>
    </w:p>
    <w:p w14:paraId="4007623E" w14:textId="77777777" w:rsidR="009D50F3" w:rsidRPr="009D50F3" w:rsidRDefault="009D50F3" w:rsidP="009D50F3">
      <w:pPr>
        <w:rPr>
          <w:rFonts w:asciiTheme="majorHAnsi" w:hAnsiTheme="majorHAnsi" w:cs="Arial"/>
        </w:rPr>
      </w:pPr>
    </w:p>
    <w:p w14:paraId="41F8187A" w14:textId="4F51EFC1" w:rsidR="004655F8" w:rsidRPr="005F4791" w:rsidRDefault="004655F8" w:rsidP="004655F8">
      <w:pPr>
        <w:rPr>
          <w:rFonts w:asciiTheme="majorHAnsi" w:hAnsiTheme="majorHAnsi" w:cs="Arial"/>
          <w:b/>
          <w:u w:val="single"/>
        </w:rPr>
      </w:pPr>
      <w:r w:rsidRPr="005F4791">
        <w:rPr>
          <w:rFonts w:asciiTheme="majorHAnsi" w:hAnsiTheme="majorHAnsi" w:cs="Arial"/>
          <w:b/>
          <w:u w:val="single"/>
        </w:rPr>
        <w:t>Departmental Grievance Procedures</w:t>
      </w:r>
    </w:p>
    <w:p w14:paraId="65CFDAE8" w14:textId="77777777" w:rsidR="004655F8" w:rsidRPr="005F4791" w:rsidRDefault="004655F8" w:rsidP="004655F8">
      <w:pPr>
        <w:rPr>
          <w:rFonts w:asciiTheme="majorHAnsi" w:hAnsiTheme="majorHAnsi" w:cs="Arial"/>
        </w:rPr>
      </w:pPr>
      <w:r w:rsidRPr="005F4791">
        <w:rPr>
          <w:rFonts w:asciiTheme="majorHAnsi" w:hAnsiTheme="majorHAnsi" w:cs="Arial"/>
        </w:rPr>
        <w:t xml:space="preserve">Students are encouraged to first discuss the grievance with the instructor. If the grievance cannot be resolved, the aggrieved may file an appeal informally to the LSAP chair. The LSAP chair will immediately confer with the student and the faculty member involved. The aggrieved may request the assistance and presence of one of the graduate student representatives at this and at all following steps in the procedure. If a satisfactory resolution is not achieved, the individual may file a written statement of grievance with the LSAP chair. Upon receiving the grievance, the chair will establish a Grievance Committee composed of one faculty member selected by the aggrieved student, one faculty member selected by the chair, and a third faculty member appointed by the other two members. This committee will consider the grievance and make a written recommendation. </w:t>
      </w:r>
    </w:p>
    <w:p w14:paraId="720DE745" w14:textId="77777777" w:rsidR="004655F8" w:rsidRPr="005F4791" w:rsidRDefault="004655F8" w:rsidP="004655F8">
      <w:pPr>
        <w:rPr>
          <w:rFonts w:asciiTheme="majorHAnsi" w:hAnsiTheme="majorHAnsi" w:cs="Arial"/>
          <w:b/>
          <w:u w:val="single"/>
        </w:rPr>
      </w:pPr>
    </w:p>
    <w:p w14:paraId="1A6E3EF9" w14:textId="77777777" w:rsidR="004655F8" w:rsidRPr="005F4791" w:rsidRDefault="004655F8" w:rsidP="004655F8">
      <w:pPr>
        <w:rPr>
          <w:rFonts w:asciiTheme="majorHAnsi" w:hAnsiTheme="majorHAnsi" w:cs="Arial"/>
          <w:b/>
          <w:u w:val="single"/>
        </w:rPr>
      </w:pPr>
      <w:r w:rsidRPr="005F4791">
        <w:rPr>
          <w:rFonts w:asciiTheme="majorHAnsi" w:hAnsiTheme="majorHAnsi" w:cs="Arial"/>
          <w:b/>
          <w:u w:val="single"/>
        </w:rPr>
        <w:t>Policy on Academic Integrity</w:t>
      </w:r>
    </w:p>
    <w:p w14:paraId="1272A882" w14:textId="77777777" w:rsidR="004655F8" w:rsidRPr="005F4791" w:rsidRDefault="004655F8" w:rsidP="004655F8">
      <w:pPr>
        <w:rPr>
          <w:rFonts w:asciiTheme="majorHAnsi" w:hAnsiTheme="majorHAnsi" w:cs="Arial"/>
        </w:rPr>
      </w:pPr>
      <w:r w:rsidRPr="005F4791">
        <w:rPr>
          <w:rFonts w:asciiTheme="majorHAnsi" w:hAnsiTheme="majorHAnsi" w:cs="Arial"/>
        </w:rPr>
        <w:t xml:space="preserve">Students in this course will be expected to comply with the University of Pittsburgh’s Policy on Academic Integrity. </w:t>
      </w:r>
      <w:proofErr w:type="spellStart"/>
      <w:r w:rsidRPr="005F4791">
        <w:rPr>
          <w:rFonts w:asciiTheme="majorHAnsi" w:hAnsiTheme="majorHAnsi" w:cs="Arial"/>
        </w:rPr>
        <w:t>Plagerizers</w:t>
      </w:r>
      <w:proofErr w:type="spellEnd"/>
      <w:r w:rsidRPr="005F4791">
        <w:rPr>
          <w:rFonts w:asciiTheme="majorHAnsi" w:hAnsiTheme="majorHAnsi" w:cs="Arial"/>
        </w:rPr>
        <w:t xml:space="preserve"> will receive a failing grade for the course.</w:t>
      </w:r>
    </w:p>
    <w:p w14:paraId="53B732BB" w14:textId="77777777" w:rsidR="004655F8" w:rsidRPr="005F4791" w:rsidRDefault="004655F8" w:rsidP="004655F8">
      <w:pPr>
        <w:rPr>
          <w:rFonts w:asciiTheme="majorHAnsi" w:hAnsiTheme="majorHAnsi" w:cs="Arial"/>
        </w:rPr>
      </w:pPr>
    </w:p>
    <w:p w14:paraId="36220FEB" w14:textId="77777777" w:rsidR="004655F8" w:rsidRPr="005F4791" w:rsidRDefault="004655F8" w:rsidP="004655F8">
      <w:pPr>
        <w:rPr>
          <w:rFonts w:asciiTheme="majorHAnsi" w:hAnsiTheme="majorHAnsi" w:cs="Arial"/>
          <w:b/>
          <w:u w:val="single"/>
        </w:rPr>
      </w:pPr>
      <w:r w:rsidRPr="005F4791">
        <w:rPr>
          <w:rFonts w:asciiTheme="majorHAnsi" w:hAnsiTheme="majorHAnsi" w:cs="Arial"/>
          <w:b/>
          <w:u w:val="single"/>
        </w:rPr>
        <w:t>Disability Policy</w:t>
      </w:r>
    </w:p>
    <w:p w14:paraId="53C977FF" w14:textId="77777777" w:rsidR="004655F8" w:rsidRPr="005F4791" w:rsidRDefault="004655F8" w:rsidP="004655F8">
      <w:pPr>
        <w:rPr>
          <w:rFonts w:asciiTheme="majorHAnsi" w:hAnsiTheme="majorHAnsi" w:cs="Arial"/>
        </w:rPr>
      </w:pPr>
      <w:r w:rsidRPr="005F4791">
        <w:rPr>
          <w:rFonts w:asciiTheme="majorHAnsi" w:hAnsiTheme="majorHAnsi" w:cs="Arial"/>
        </w:rPr>
        <w:t>If you have a disability for which you are or may be requesting an accommodation, you are encouraged to contact both your instructor and Disability Resources and Services (DRS), 216 William Pitt Union, 412-648-7890 (412- 282-7355 for TTY) as early as possible in the term. DRS will verify your disability and determine reasonable accommodations for this course.</w:t>
      </w:r>
    </w:p>
    <w:p w14:paraId="64E99388" w14:textId="6FCDB726" w:rsidR="004655F8" w:rsidRDefault="004655F8"/>
    <w:p w14:paraId="42273D07" w14:textId="765D18BF" w:rsidR="004655F8" w:rsidRDefault="004655F8">
      <w:r>
        <w:br w:type="page"/>
      </w:r>
    </w:p>
    <w:p w14:paraId="35C0AF3A" w14:textId="77777777" w:rsidR="004655F8" w:rsidRPr="005F4791" w:rsidRDefault="004655F8" w:rsidP="004655F8">
      <w:pPr>
        <w:rPr>
          <w:rFonts w:asciiTheme="majorHAnsi" w:hAnsiTheme="majorHAnsi"/>
          <w:b/>
        </w:rPr>
      </w:pPr>
      <w:r w:rsidRPr="005F4791">
        <w:rPr>
          <w:rFonts w:asciiTheme="majorHAnsi" w:hAnsiTheme="majorHAnsi"/>
          <w:b/>
        </w:rPr>
        <w:lastRenderedPageBreak/>
        <w:t xml:space="preserve">Organizational Perspectives on School Improvement </w:t>
      </w:r>
      <w:r>
        <w:rPr>
          <w:rFonts w:asciiTheme="majorHAnsi" w:hAnsiTheme="majorHAnsi"/>
          <w:b/>
        </w:rPr>
        <w:t>–</w:t>
      </w:r>
      <w:r w:rsidRPr="005F4791">
        <w:rPr>
          <w:rFonts w:asciiTheme="majorHAnsi" w:hAnsiTheme="majorHAnsi"/>
          <w:b/>
        </w:rPr>
        <w:t xml:space="preserve"> </w:t>
      </w:r>
      <w:r>
        <w:rPr>
          <w:rFonts w:asciiTheme="majorHAnsi" w:hAnsiTheme="majorHAnsi"/>
          <w:b/>
        </w:rPr>
        <w:t xml:space="preserve">DRAFT </w:t>
      </w:r>
      <w:r w:rsidRPr="005F4791">
        <w:rPr>
          <w:rFonts w:asciiTheme="majorHAnsi" w:hAnsiTheme="majorHAnsi"/>
          <w:b/>
        </w:rPr>
        <w:t>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8579"/>
      </w:tblGrid>
      <w:tr w:rsidR="004655F8" w:rsidRPr="005F4791" w14:paraId="3D0D6063" w14:textId="77777777" w:rsidTr="004655F8">
        <w:trPr>
          <w:cantSplit/>
          <w:tblHeader/>
        </w:trPr>
        <w:tc>
          <w:tcPr>
            <w:tcW w:w="771" w:type="dxa"/>
          </w:tcPr>
          <w:p w14:paraId="21FBF929" w14:textId="77777777" w:rsidR="004655F8" w:rsidRPr="005F4791" w:rsidRDefault="004655F8" w:rsidP="00A00E84">
            <w:pPr>
              <w:rPr>
                <w:rFonts w:asciiTheme="majorHAnsi" w:hAnsiTheme="majorHAnsi"/>
                <w:b/>
              </w:rPr>
            </w:pPr>
            <w:r w:rsidRPr="005F4791">
              <w:rPr>
                <w:rFonts w:asciiTheme="majorHAnsi" w:hAnsiTheme="majorHAnsi"/>
                <w:b/>
              </w:rPr>
              <w:t>Week</w:t>
            </w:r>
          </w:p>
        </w:tc>
        <w:tc>
          <w:tcPr>
            <w:tcW w:w="8579" w:type="dxa"/>
          </w:tcPr>
          <w:p w14:paraId="5A9263D9" w14:textId="77777777" w:rsidR="004655F8" w:rsidRPr="005F4791" w:rsidRDefault="004655F8" w:rsidP="00A00E84">
            <w:pPr>
              <w:rPr>
                <w:rFonts w:asciiTheme="majorHAnsi" w:hAnsiTheme="majorHAnsi"/>
                <w:b/>
              </w:rPr>
            </w:pPr>
            <w:r w:rsidRPr="005F4791">
              <w:rPr>
                <w:rFonts w:asciiTheme="majorHAnsi" w:hAnsiTheme="majorHAnsi"/>
                <w:b/>
              </w:rPr>
              <w:t>Session</w:t>
            </w:r>
          </w:p>
        </w:tc>
      </w:tr>
      <w:tr w:rsidR="004655F8" w:rsidRPr="005F4791" w14:paraId="5A4917E1" w14:textId="77777777" w:rsidTr="004655F8">
        <w:trPr>
          <w:cantSplit/>
        </w:trPr>
        <w:tc>
          <w:tcPr>
            <w:tcW w:w="771" w:type="dxa"/>
          </w:tcPr>
          <w:p w14:paraId="453786AA" w14:textId="77777777" w:rsidR="004655F8" w:rsidRDefault="004655F8" w:rsidP="00A00E84">
            <w:pPr>
              <w:rPr>
                <w:rFonts w:asciiTheme="majorHAnsi" w:hAnsiTheme="majorHAnsi"/>
                <w:b/>
              </w:rPr>
            </w:pPr>
            <w:r w:rsidRPr="005F4791">
              <w:rPr>
                <w:rFonts w:asciiTheme="majorHAnsi" w:hAnsiTheme="majorHAnsi"/>
                <w:b/>
              </w:rPr>
              <w:t>1</w:t>
            </w:r>
          </w:p>
          <w:p w14:paraId="7E35F348" w14:textId="77777777" w:rsidR="004655F8" w:rsidRDefault="004655F8" w:rsidP="00A00E84">
            <w:pPr>
              <w:rPr>
                <w:rFonts w:asciiTheme="majorHAnsi" w:hAnsiTheme="majorHAnsi"/>
                <w:b/>
              </w:rPr>
            </w:pPr>
          </w:p>
          <w:p w14:paraId="3507C1F6" w14:textId="7373E218" w:rsidR="004655F8" w:rsidRPr="005F4791" w:rsidRDefault="004655F8" w:rsidP="00A00E84">
            <w:pPr>
              <w:rPr>
                <w:rFonts w:asciiTheme="majorHAnsi" w:hAnsiTheme="majorHAnsi"/>
                <w:b/>
              </w:rPr>
            </w:pPr>
            <w:r>
              <w:rPr>
                <w:rFonts w:asciiTheme="majorHAnsi" w:hAnsiTheme="majorHAnsi"/>
                <w:b/>
              </w:rPr>
              <w:t>Aug. 28</w:t>
            </w:r>
          </w:p>
          <w:p w14:paraId="05A8D4CF" w14:textId="77777777" w:rsidR="004655F8" w:rsidRPr="005F4791" w:rsidRDefault="004655F8" w:rsidP="00A00E84">
            <w:pPr>
              <w:rPr>
                <w:rFonts w:asciiTheme="majorHAnsi" w:hAnsiTheme="majorHAnsi"/>
                <w:b/>
              </w:rPr>
            </w:pPr>
          </w:p>
          <w:p w14:paraId="38F8C5E4" w14:textId="77777777" w:rsidR="004655F8" w:rsidRPr="005F4791" w:rsidRDefault="004655F8" w:rsidP="00A00E84">
            <w:pPr>
              <w:rPr>
                <w:rFonts w:asciiTheme="majorHAnsi" w:hAnsiTheme="majorHAnsi"/>
                <w:b/>
              </w:rPr>
            </w:pPr>
          </w:p>
        </w:tc>
        <w:tc>
          <w:tcPr>
            <w:tcW w:w="8579" w:type="dxa"/>
          </w:tcPr>
          <w:p w14:paraId="3ACC9A9D" w14:textId="77777777" w:rsidR="004655F8" w:rsidRPr="00404803" w:rsidRDefault="004655F8" w:rsidP="00A00E84">
            <w:pPr>
              <w:rPr>
                <w:rFonts w:asciiTheme="majorHAnsi" w:hAnsiTheme="majorHAnsi"/>
                <w:b/>
              </w:rPr>
            </w:pPr>
            <w:r w:rsidRPr="00404803">
              <w:rPr>
                <w:rFonts w:asciiTheme="majorHAnsi" w:hAnsiTheme="majorHAnsi"/>
                <w:b/>
              </w:rPr>
              <w:t>Course overview</w:t>
            </w:r>
          </w:p>
          <w:p w14:paraId="56544A42" w14:textId="77777777" w:rsidR="004655F8" w:rsidRPr="00404803" w:rsidRDefault="004655F8" w:rsidP="004655F8">
            <w:pPr>
              <w:pStyle w:val="MediumGrid1-Accent21"/>
              <w:numPr>
                <w:ilvl w:val="0"/>
                <w:numId w:val="3"/>
              </w:numPr>
              <w:rPr>
                <w:rFonts w:asciiTheme="majorHAnsi" w:hAnsiTheme="majorHAnsi"/>
              </w:rPr>
            </w:pPr>
            <w:r w:rsidRPr="00404803">
              <w:rPr>
                <w:rFonts w:asciiTheme="majorHAnsi" w:hAnsiTheme="majorHAnsi"/>
              </w:rPr>
              <w:t>Introductions</w:t>
            </w:r>
          </w:p>
          <w:p w14:paraId="7AB19BEB" w14:textId="77777777" w:rsidR="004655F8" w:rsidRPr="00404803" w:rsidRDefault="004655F8" w:rsidP="004655F8">
            <w:pPr>
              <w:pStyle w:val="MediumGrid1-Accent21"/>
              <w:numPr>
                <w:ilvl w:val="0"/>
                <w:numId w:val="3"/>
              </w:numPr>
              <w:rPr>
                <w:rFonts w:asciiTheme="majorHAnsi" w:hAnsiTheme="majorHAnsi"/>
              </w:rPr>
            </w:pPr>
            <w:r w:rsidRPr="00404803">
              <w:rPr>
                <w:rFonts w:asciiTheme="majorHAnsi" w:hAnsiTheme="majorHAnsi"/>
              </w:rPr>
              <w:t>Review syllabus</w:t>
            </w:r>
            <w:r>
              <w:rPr>
                <w:rFonts w:asciiTheme="majorHAnsi" w:hAnsiTheme="majorHAnsi"/>
              </w:rPr>
              <w:t xml:space="preserve"> and</w:t>
            </w:r>
            <w:r w:rsidRPr="00404803">
              <w:rPr>
                <w:rFonts w:asciiTheme="majorHAnsi" w:hAnsiTheme="majorHAnsi"/>
              </w:rPr>
              <w:t xml:space="preserve"> major assignments </w:t>
            </w:r>
          </w:p>
          <w:p w14:paraId="0AB76D53" w14:textId="353243A3" w:rsidR="004655F8" w:rsidRPr="00404803" w:rsidRDefault="004655F8" w:rsidP="004655F8">
            <w:pPr>
              <w:pStyle w:val="MediumGrid1-Accent21"/>
              <w:numPr>
                <w:ilvl w:val="0"/>
                <w:numId w:val="3"/>
              </w:numPr>
              <w:rPr>
                <w:rFonts w:asciiTheme="majorHAnsi" w:hAnsiTheme="majorHAnsi"/>
              </w:rPr>
            </w:pPr>
            <w:r>
              <w:rPr>
                <w:rFonts w:asciiTheme="majorHAnsi" w:hAnsiTheme="majorHAnsi"/>
              </w:rPr>
              <w:t>I</w:t>
            </w:r>
            <w:r w:rsidRPr="00404803">
              <w:rPr>
                <w:rFonts w:asciiTheme="majorHAnsi" w:hAnsiTheme="majorHAnsi"/>
              </w:rPr>
              <w:t>ntroductory lecture</w:t>
            </w:r>
            <w:r>
              <w:rPr>
                <w:rFonts w:asciiTheme="majorHAnsi" w:hAnsiTheme="majorHAnsi"/>
              </w:rPr>
              <w:t xml:space="preserve">: Spillane, Gomez &amp; </w:t>
            </w:r>
            <w:proofErr w:type="spellStart"/>
            <w:r>
              <w:rPr>
                <w:rFonts w:asciiTheme="majorHAnsi" w:hAnsiTheme="majorHAnsi"/>
              </w:rPr>
              <w:t>Messler</w:t>
            </w:r>
            <w:proofErr w:type="spellEnd"/>
          </w:p>
          <w:p w14:paraId="39E9D2CF" w14:textId="77777777" w:rsidR="004655F8" w:rsidRPr="005F4791" w:rsidRDefault="004655F8" w:rsidP="00A00E84">
            <w:pPr>
              <w:widowControl w:val="0"/>
              <w:autoSpaceDE w:val="0"/>
              <w:autoSpaceDN w:val="0"/>
              <w:adjustRightInd w:val="0"/>
              <w:rPr>
                <w:rFonts w:asciiTheme="majorHAnsi" w:hAnsiTheme="majorHAnsi"/>
                <w:b/>
              </w:rPr>
            </w:pPr>
          </w:p>
        </w:tc>
      </w:tr>
      <w:tr w:rsidR="004655F8" w:rsidRPr="005F4791" w14:paraId="0046BE95" w14:textId="77777777" w:rsidTr="004655F8">
        <w:trPr>
          <w:cantSplit/>
          <w:trHeight w:val="377"/>
        </w:trPr>
        <w:tc>
          <w:tcPr>
            <w:tcW w:w="9350" w:type="dxa"/>
            <w:gridSpan w:val="2"/>
          </w:tcPr>
          <w:p w14:paraId="5A8A21FD" w14:textId="2B72F67A" w:rsidR="004655F8" w:rsidRPr="009D50F3" w:rsidRDefault="004655F8" w:rsidP="00A00E84">
            <w:pPr>
              <w:rPr>
                <w:rFonts w:asciiTheme="majorHAnsi" w:hAnsiTheme="majorHAnsi"/>
                <w:b/>
              </w:rPr>
            </w:pPr>
            <w:r w:rsidRPr="005F4791">
              <w:rPr>
                <w:rFonts w:asciiTheme="majorHAnsi" w:hAnsiTheme="majorHAnsi"/>
                <w:b/>
              </w:rPr>
              <w:t xml:space="preserve">Segment 1: Organizational </w:t>
            </w:r>
            <w:r>
              <w:rPr>
                <w:rFonts w:asciiTheme="majorHAnsi" w:hAnsiTheme="majorHAnsi"/>
                <w:b/>
              </w:rPr>
              <w:t>Resources for Implementation and Improvement</w:t>
            </w:r>
          </w:p>
        </w:tc>
      </w:tr>
      <w:tr w:rsidR="004655F8" w:rsidRPr="005F4791" w14:paraId="68D1B5E4" w14:textId="77777777" w:rsidTr="004655F8">
        <w:trPr>
          <w:cantSplit/>
        </w:trPr>
        <w:tc>
          <w:tcPr>
            <w:tcW w:w="771" w:type="dxa"/>
          </w:tcPr>
          <w:p w14:paraId="409D9A86" w14:textId="226CA34C" w:rsidR="004655F8" w:rsidRDefault="004655F8" w:rsidP="00A00E84">
            <w:pPr>
              <w:rPr>
                <w:rFonts w:asciiTheme="majorHAnsi" w:hAnsiTheme="majorHAnsi"/>
                <w:b/>
              </w:rPr>
            </w:pPr>
            <w:r>
              <w:rPr>
                <w:rFonts w:asciiTheme="majorHAnsi" w:hAnsiTheme="majorHAnsi"/>
                <w:b/>
              </w:rPr>
              <w:t>2</w:t>
            </w:r>
          </w:p>
          <w:p w14:paraId="793DE35D" w14:textId="77777777" w:rsidR="004655F8" w:rsidRDefault="004655F8" w:rsidP="00A00E84">
            <w:pPr>
              <w:rPr>
                <w:rFonts w:asciiTheme="majorHAnsi" w:hAnsiTheme="majorHAnsi"/>
                <w:b/>
              </w:rPr>
            </w:pPr>
          </w:p>
          <w:p w14:paraId="30DABE25" w14:textId="2B1A6A94" w:rsidR="004655F8" w:rsidRDefault="004655F8" w:rsidP="004655F8">
            <w:pPr>
              <w:rPr>
                <w:rFonts w:asciiTheme="majorHAnsi" w:hAnsiTheme="majorHAnsi"/>
                <w:b/>
              </w:rPr>
            </w:pPr>
            <w:r>
              <w:rPr>
                <w:rFonts w:asciiTheme="majorHAnsi" w:hAnsiTheme="majorHAnsi"/>
                <w:b/>
              </w:rPr>
              <w:t xml:space="preserve">Sept. </w:t>
            </w:r>
          </w:p>
          <w:p w14:paraId="482E164D" w14:textId="2F778B1B" w:rsidR="004655F8" w:rsidRPr="005F4791" w:rsidRDefault="004655F8" w:rsidP="004655F8">
            <w:pPr>
              <w:rPr>
                <w:rFonts w:asciiTheme="majorHAnsi" w:hAnsiTheme="majorHAnsi"/>
                <w:b/>
              </w:rPr>
            </w:pPr>
            <w:r>
              <w:rPr>
                <w:rFonts w:asciiTheme="majorHAnsi" w:hAnsiTheme="majorHAnsi"/>
                <w:b/>
              </w:rPr>
              <w:t>4</w:t>
            </w:r>
          </w:p>
          <w:p w14:paraId="4F97D1B5" w14:textId="56BB4450" w:rsidR="004655F8" w:rsidRPr="005F4791" w:rsidRDefault="004655F8" w:rsidP="00A00E84">
            <w:pPr>
              <w:rPr>
                <w:rFonts w:asciiTheme="majorHAnsi" w:hAnsiTheme="majorHAnsi"/>
                <w:b/>
              </w:rPr>
            </w:pPr>
          </w:p>
        </w:tc>
        <w:tc>
          <w:tcPr>
            <w:tcW w:w="8579" w:type="dxa"/>
          </w:tcPr>
          <w:p w14:paraId="732A9284" w14:textId="77777777" w:rsidR="004655F8" w:rsidRDefault="004655F8" w:rsidP="00A00E84">
            <w:pPr>
              <w:rPr>
                <w:rFonts w:asciiTheme="majorHAnsi" w:hAnsiTheme="majorHAnsi"/>
                <w:b/>
              </w:rPr>
            </w:pPr>
            <w:r>
              <w:rPr>
                <w:rFonts w:asciiTheme="majorHAnsi" w:hAnsiTheme="majorHAnsi"/>
                <w:b/>
              </w:rPr>
              <w:t>Human Resources</w:t>
            </w:r>
          </w:p>
          <w:p w14:paraId="04DE8C81" w14:textId="3AF3FB7C" w:rsidR="001131E3" w:rsidRPr="001131E3" w:rsidRDefault="001131E3" w:rsidP="001131E3">
            <w:pPr>
              <w:rPr>
                <w:rFonts w:asciiTheme="majorHAnsi" w:hAnsiTheme="majorHAnsi" w:cstheme="majorHAnsi"/>
              </w:rPr>
            </w:pPr>
            <w:r w:rsidRPr="001131E3">
              <w:rPr>
                <w:rFonts w:asciiTheme="majorHAnsi" w:hAnsiTheme="majorHAnsi" w:cstheme="majorHAnsi"/>
              </w:rPr>
              <w:t xml:space="preserve">Spillane, J. P., Gomez, L. M., &amp; </w:t>
            </w:r>
            <w:proofErr w:type="spellStart"/>
            <w:r w:rsidRPr="001131E3">
              <w:rPr>
                <w:rFonts w:asciiTheme="majorHAnsi" w:hAnsiTheme="majorHAnsi" w:cstheme="majorHAnsi"/>
              </w:rPr>
              <w:t>Mesler</w:t>
            </w:r>
            <w:proofErr w:type="spellEnd"/>
            <w:r w:rsidRPr="001131E3">
              <w:rPr>
                <w:rFonts w:asciiTheme="majorHAnsi" w:hAnsiTheme="majorHAnsi" w:cstheme="majorHAnsi"/>
              </w:rPr>
              <w:t>, L. (2009). Notes on reframing the role of organizations in policy implementat</w:t>
            </w:r>
            <w:r>
              <w:rPr>
                <w:rFonts w:asciiTheme="majorHAnsi" w:hAnsiTheme="majorHAnsi" w:cstheme="majorHAnsi"/>
              </w:rPr>
              <w:t xml:space="preserve">ion. </w:t>
            </w:r>
            <w:r>
              <w:rPr>
                <w:rFonts w:asciiTheme="majorHAnsi" w:hAnsiTheme="majorHAnsi" w:cstheme="majorHAnsi"/>
                <w:i/>
              </w:rPr>
              <w:t>Handbook of Education Policy Research</w:t>
            </w:r>
            <w:r>
              <w:rPr>
                <w:rFonts w:asciiTheme="majorHAnsi" w:hAnsiTheme="majorHAnsi" w:cstheme="majorHAnsi"/>
              </w:rPr>
              <w:t>. Routledge.</w:t>
            </w:r>
          </w:p>
          <w:p w14:paraId="68C0EDC7" w14:textId="77777777" w:rsidR="001131E3" w:rsidRPr="001131E3" w:rsidRDefault="001131E3" w:rsidP="001131E3">
            <w:pPr>
              <w:rPr>
                <w:rFonts w:asciiTheme="majorHAnsi" w:hAnsiTheme="majorHAnsi" w:cstheme="majorHAnsi"/>
              </w:rPr>
            </w:pPr>
          </w:p>
          <w:p w14:paraId="4343C39F" w14:textId="520B3012" w:rsidR="004655F8" w:rsidRPr="001131E3" w:rsidRDefault="004655F8" w:rsidP="004655F8">
            <w:pPr>
              <w:rPr>
                <w:rFonts w:asciiTheme="majorHAnsi" w:hAnsiTheme="majorHAnsi" w:cstheme="majorHAnsi"/>
              </w:rPr>
            </w:pPr>
            <w:r w:rsidRPr="001131E3">
              <w:rPr>
                <w:rFonts w:asciiTheme="majorHAnsi" w:hAnsiTheme="majorHAnsi" w:cstheme="majorHAnsi"/>
              </w:rPr>
              <w:t>Scott</w:t>
            </w:r>
            <w:r w:rsidR="001131E3">
              <w:rPr>
                <w:rFonts w:asciiTheme="majorHAnsi" w:hAnsiTheme="majorHAnsi" w:cstheme="majorHAnsi"/>
              </w:rPr>
              <w:t xml:space="preserve"> &amp; Davis,</w:t>
            </w:r>
            <w:r w:rsidRPr="001131E3">
              <w:rPr>
                <w:rFonts w:asciiTheme="majorHAnsi" w:hAnsiTheme="majorHAnsi" w:cstheme="majorHAnsi"/>
              </w:rPr>
              <w:t xml:space="preserve"> Chapter 7: Labor and Structure </w:t>
            </w:r>
          </w:p>
          <w:p w14:paraId="70C46B44" w14:textId="77777777" w:rsidR="00912062" w:rsidRPr="00912062" w:rsidRDefault="00912062" w:rsidP="00912062">
            <w:pPr>
              <w:pStyle w:val="Default"/>
              <w:rPr>
                <w:rFonts w:asciiTheme="majorHAnsi" w:hAnsiTheme="majorHAnsi" w:cstheme="majorHAnsi"/>
              </w:rPr>
            </w:pPr>
          </w:p>
          <w:p w14:paraId="278D9C7F" w14:textId="63A95CEC" w:rsidR="00F8130D" w:rsidRPr="001131E3" w:rsidRDefault="00A224B9" w:rsidP="004655F8">
            <w:pPr>
              <w:rPr>
                <w:rFonts w:asciiTheme="majorHAnsi" w:hAnsiTheme="majorHAnsi"/>
                <w:u w:val="single"/>
              </w:rPr>
            </w:pPr>
            <w:r w:rsidRPr="001131E3">
              <w:rPr>
                <w:rFonts w:asciiTheme="majorHAnsi" w:hAnsiTheme="majorHAnsi"/>
                <w:u w:val="single"/>
              </w:rPr>
              <w:t xml:space="preserve">Select one of </w:t>
            </w:r>
            <w:r w:rsidR="00842B5C">
              <w:rPr>
                <w:rFonts w:asciiTheme="majorHAnsi" w:hAnsiTheme="majorHAnsi"/>
                <w:u w:val="single"/>
              </w:rPr>
              <w:t>5</w:t>
            </w:r>
            <w:r w:rsidRPr="001131E3">
              <w:rPr>
                <w:rFonts w:asciiTheme="majorHAnsi" w:hAnsiTheme="majorHAnsi"/>
                <w:u w:val="single"/>
              </w:rPr>
              <w:t>:</w:t>
            </w:r>
          </w:p>
          <w:p w14:paraId="51AE2658" w14:textId="77777777" w:rsidR="00842B5C" w:rsidRPr="00842B5C" w:rsidRDefault="00842B5C" w:rsidP="00842B5C">
            <w:pPr>
              <w:numPr>
                <w:ilvl w:val="0"/>
                <w:numId w:val="7"/>
              </w:numPr>
              <w:spacing w:before="100" w:beforeAutospacing="1" w:after="100" w:afterAutospacing="1"/>
              <w:rPr>
                <w:rFonts w:asciiTheme="majorHAnsi" w:hAnsiTheme="majorHAnsi" w:cstheme="majorHAnsi"/>
              </w:rPr>
            </w:pPr>
            <w:r w:rsidRPr="00842B5C">
              <w:rPr>
                <w:rFonts w:asciiTheme="majorHAnsi" w:hAnsiTheme="majorHAnsi" w:cstheme="majorHAnsi"/>
              </w:rPr>
              <w:t xml:space="preserve">Johnson, S. M. (2015). Will VAMS reinforce the walls of the egg-crate school? </w:t>
            </w:r>
            <w:r w:rsidRPr="00842B5C">
              <w:rPr>
                <w:rFonts w:asciiTheme="majorHAnsi" w:hAnsiTheme="majorHAnsi" w:cstheme="majorHAnsi"/>
                <w:i/>
                <w:iCs/>
              </w:rPr>
              <w:t>Educational Researcher</w:t>
            </w:r>
            <w:r w:rsidRPr="00842B5C">
              <w:rPr>
                <w:rFonts w:asciiTheme="majorHAnsi" w:hAnsiTheme="majorHAnsi" w:cstheme="majorHAnsi"/>
              </w:rPr>
              <w:t xml:space="preserve">, </w:t>
            </w:r>
            <w:r w:rsidRPr="00842B5C">
              <w:rPr>
                <w:rFonts w:asciiTheme="majorHAnsi" w:hAnsiTheme="majorHAnsi" w:cstheme="majorHAnsi"/>
                <w:i/>
                <w:iCs/>
              </w:rPr>
              <w:t>44</w:t>
            </w:r>
            <w:r w:rsidRPr="00842B5C">
              <w:rPr>
                <w:rFonts w:asciiTheme="majorHAnsi" w:hAnsiTheme="majorHAnsi" w:cstheme="majorHAnsi"/>
              </w:rPr>
              <w:t>(2), 117-126.</w:t>
            </w:r>
          </w:p>
          <w:p w14:paraId="2101F136" w14:textId="77777777" w:rsidR="00842B5C" w:rsidRPr="00842B5C" w:rsidRDefault="00842B5C" w:rsidP="00842B5C">
            <w:pPr>
              <w:numPr>
                <w:ilvl w:val="0"/>
                <w:numId w:val="7"/>
              </w:numPr>
              <w:spacing w:before="100" w:beforeAutospacing="1" w:after="100" w:afterAutospacing="1"/>
              <w:rPr>
                <w:rFonts w:asciiTheme="majorHAnsi" w:hAnsiTheme="majorHAnsi" w:cstheme="majorHAnsi"/>
              </w:rPr>
            </w:pPr>
            <w:r w:rsidRPr="00842B5C">
              <w:rPr>
                <w:rFonts w:asciiTheme="majorHAnsi" w:hAnsiTheme="majorHAnsi" w:cstheme="majorHAnsi"/>
              </w:rPr>
              <w:t xml:space="preserve">Ingersoll, R. (2011). Power, accountability, and the teacher quality problem. In S. Kelly (Ed.) </w:t>
            </w:r>
            <w:r w:rsidRPr="00842B5C">
              <w:rPr>
                <w:rFonts w:asciiTheme="majorHAnsi" w:hAnsiTheme="majorHAnsi" w:cstheme="majorHAnsi"/>
                <w:i/>
                <w:iCs/>
              </w:rPr>
              <w:t xml:space="preserve">Assessing teacher quality. </w:t>
            </w:r>
            <w:r w:rsidRPr="00842B5C">
              <w:rPr>
                <w:rFonts w:asciiTheme="majorHAnsi" w:hAnsiTheme="majorHAnsi" w:cstheme="majorHAnsi"/>
              </w:rPr>
              <w:t>New York: Teachers College Press.</w:t>
            </w:r>
          </w:p>
          <w:p w14:paraId="628F6607" w14:textId="77777777" w:rsidR="00842B5C" w:rsidRPr="00842B5C" w:rsidRDefault="00842B5C" w:rsidP="00842B5C">
            <w:pPr>
              <w:numPr>
                <w:ilvl w:val="0"/>
                <w:numId w:val="7"/>
              </w:numPr>
              <w:spacing w:before="100" w:beforeAutospacing="1" w:after="100" w:afterAutospacing="1"/>
              <w:rPr>
                <w:rFonts w:asciiTheme="majorHAnsi" w:hAnsiTheme="majorHAnsi" w:cstheme="majorHAnsi"/>
              </w:rPr>
            </w:pPr>
            <w:proofErr w:type="spellStart"/>
            <w:r w:rsidRPr="00842B5C">
              <w:rPr>
                <w:rFonts w:asciiTheme="majorHAnsi" w:hAnsiTheme="majorHAnsi" w:cstheme="majorHAnsi"/>
              </w:rPr>
              <w:t>Podgusrky</w:t>
            </w:r>
            <w:proofErr w:type="spellEnd"/>
            <w:r w:rsidRPr="00842B5C">
              <w:rPr>
                <w:rFonts w:asciiTheme="majorHAnsi" w:hAnsiTheme="majorHAnsi" w:cstheme="majorHAnsi"/>
              </w:rPr>
              <w:t xml:space="preserve">, M. and Springer, M. (2006). Teacher performance pay: A review. </w:t>
            </w:r>
            <w:r w:rsidRPr="00842B5C">
              <w:rPr>
                <w:rFonts w:asciiTheme="majorHAnsi" w:hAnsiTheme="majorHAnsi" w:cstheme="majorHAnsi"/>
                <w:i/>
                <w:iCs/>
              </w:rPr>
              <w:t>Journal of Policy Analysis and Management, 26,</w:t>
            </w:r>
            <w:r w:rsidRPr="00842B5C">
              <w:rPr>
                <w:rFonts w:asciiTheme="majorHAnsi" w:hAnsiTheme="majorHAnsi" w:cstheme="majorHAnsi"/>
              </w:rPr>
              <w:t xml:space="preserve"> (4): 909–949 .</w:t>
            </w:r>
          </w:p>
          <w:p w14:paraId="324A0A56" w14:textId="77777777" w:rsidR="00842B5C" w:rsidRPr="00842B5C" w:rsidRDefault="00842B5C" w:rsidP="00842B5C">
            <w:pPr>
              <w:numPr>
                <w:ilvl w:val="0"/>
                <w:numId w:val="7"/>
              </w:numPr>
              <w:spacing w:before="100" w:beforeAutospacing="1" w:after="100" w:afterAutospacing="1"/>
              <w:rPr>
                <w:rFonts w:asciiTheme="majorHAnsi" w:hAnsiTheme="majorHAnsi" w:cstheme="majorHAnsi"/>
              </w:rPr>
            </w:pPr>
            <w:r w:rsidRPr="00842B5C">
              <w:rPr>
                <w:rFonts w:asciiTheme="majorHAnsi" w:hAnsiTheme="majorHAnsi" w:cstheme="majorHAnsi"/>
              </w:rPr>
              <w:t>Marsh, J. A., Bush-</w:t>
            </w:r>
            <w:proofErr w:type="spellStart"/>
            <w:r w:rsidRPr="00842B5C">
              <w:rPr>
                <w:rFonts w:asciiTheme="majorHAnsi" w:hAnsiTheme="majorHAnsi" w:cstheme="majorHAnsi"/>
              </w:rPr>
              <w:t>Mecenas</w:t>
            </w:r>
            <w:proofErr w:type="spellEnd"/>
            <w:r w:rsidRPr="00842B5C">
              <w:rPr>
                <w:rFonts w:asciiTheme="majorHAnsi" w:hAnsiTheme="majorHAnsi" w:cstheme="majorHAnsi"/>
              </w:rPr>
              <w:t xml:space="preserve">, S., Strunk, K. O., </w:t>
            </w:r>
            <w:proofErr w:type="spellStart"/>
            <w:r w:rsidRPr="00842B5C">
              <w:rPr>
                <w:rFonts w:asciiTheme="majorHAnsi" w:hAnsiTheme="majorHAnsi" w:cstheme="majorHAnsi"/>
              </w:rPr>
              <w:t>Lincove</w:t>
            </w:r>
            <w:proofErr w:type="spellEnd"/>
            <w:r w:rsidRPr="00842B5C">
              <w:rPr>
                <w:rFonts w:asciiTheme="majorHAnsi" w:hAnsiTheme="majorHAnsi" w:cstheme="majorHAnsi"/>
              </w:rPr>
              <w:t xml:space="preserve">, J. A., &amp; </w:t>
            </w:r>
            <w:proofErr w:type="spellStart"/>
            <w:r w:rsidRPr="00842B5C">
              <w:rPr>
                <w:rFonts w:asciiTheme="majorHAnsi" w:hAnsiTheme="majorHAnsi" w:cstheme="majorHAnsi"/>
              </w:rPr>
              <w:t>Huguet</w:t>
            </w:r>
            <w:proofErr w:type="spellEnd"/>
            <w:r w:rsidRPr="00842B5C">
              <w:rPr>
                <w:rFonts w:asciiTheme="majorHAnsi" w:hAnsiTheme="majorHAnsi" w:cstheme="majorHAnsi"/>
              </w:rPr>
              <w:t>, A. (2017). Evaluating teachers in the Big Easy: How organizational context shapes policy responses in New Orleans. </w:t>
            </w:r>
            <w:r w:rsidRPr="00842B5C">
              <w:rPr>
                <w:rFonts w:asciiTheme="majorHAnsi" w:hAnsiTheme="majorHAnsi" w:cstheme="majorHAnsi"/>
                <w:i/>
                <w:iCs/>
              </w:rPr>
              <w:t>Educational Evaluation and Policy Analysis</w:t>
            </w:r>
            <w:r w:rsidRPr="00842B5C">
              <w:rPr>
                <w:rFonts w:asciiTheme="majorHAnsi" w:hAnsiTheme="majorHAnsi" w:cstheme="majorHAnsi"/>
              </w:rPr>
              <w:t>, </w:t>
            </w:r>
            <w:r w:rsidRPr="00842B5C">
              <w:rPr>
                <w:rFonts w:asciiTheme="majorHAnsi" w:hAnsiTheme="majorHAnsi" w:cstheme="majorHAnsi"/>
                <w:i/>
                <w:iCs/>
              </w:rPr>
              <w:t>39</w:t>
            </w:r>
            <w:r w:rsidRPr="00842B5C">
              <w:rPr>
                <w:rFonts w:asciiTheme="majorHAnsi" w:hAnsiTheme="majorHAnsi" w:cstheme="majorHAnsi"/>
              </w:rPr>
              <w:t>(4), 539-570.</w:t>
            </w:r>
          </w:p>
          <w:p w14:paraId="5D7B5F61" w14:textId="77777777" w:rsidR="00842B5C" w:rsidRPr="00842B5C" w:rsidRDefault="00842B5C" w:rsidP="00842B5C">
            <w:pPr>
              <w:numPr>
                <w:ilvl w:val="0"/>
                <w:numId w:val="7"/>
              </w:numPr>
              <w:spacing w:before="100" w:beforeAutospacing="1" w:after="100" w:afterAutospacing="1"/>
              <w:rPr>
                <w:rFonts w:asciiTheme="majorHAnsi" w:hAnsiTheme="majorHAnsi" w:cstheme="majorHAnsi"/>
              </w:rPr>
            </w:pPr>
            <w:proofErr w:type="spellStart"/>
            <w:r w:rsidRPr="00842B5C">
              <w:rPr>
                <w:rFonts w:asciiTheme="majorHAnsi" w:hAnsiTheme="majorHAnsi" w:cstheme="majorHAnsi"/>
              </w:rPr>
              <w:t>Borman</w:t>
            </w:r>
            <w:proofErr w:type="spellEnd"/>
            <w:r w:rsidRPr="00842B5C">
              <w:rPr>
                <w:rFonts w:asciiTheme="majorHAnsi" w:hAnsiTheme="majorHAnsi" w:cstheme="majorHAnsi"/>
              </w:rPr>
              <w:t xml:space="preserve">, G. and Dowling, N. (2008). Teacher attrition and retention: A meta-analytic and narrative review of research. </w:t>
            </w:r>
            <w:r w:rsidRPr="00842B5C">
              <w:rPr>
                <w:rFonts w:asciiTheme="majorHAnsi" w:hAnsiTheme="majorHAnsi" w:cstheme="majorHAnsi"/>
                <w:i/>
                <w:iCs/>
              </w:rPr>
              <w:t>Review of Educational Research</w:t>
            </w:r>
            <w:r w:rsidRPr="00842B5C">
              <w:rPr>
                <w:rFonts w:asciiTheme="majorHAnsi" w:hAnsiTheme="majorHAnsi" w:cstheme="majorHAnsi"/>
              </w:rPr>
              <w:t>, 78 (3): 367-409.</w:t>
            </w:r>
          </w:p>
          <w:p w14:paraId="0E54DDE8" w14:textId="7491FCDA" w:rsidR="001131E3" w:rsidRPr="00F8130D" w:rsidRDefault="001131E3" w:rsidP="00F8130D">
            <w:pPr>
              <w:pStyle w:val="ListParagraph"/>
              <w:ind w:left="360"/>
              <w:rPr>
                <w:rFonts w:asciiTheme="majorHAnsi" w:hAnsiTheme="majorHAnsi" w:cstheme="majorHAnsi"/>
              </w:rPr>
            </w:pPr>
            <w:r w:rsidRPr="001131E3">
              <w:rPr>
                <w:rFonts w:asciiTheme="majorHAnsi" w:hAnsiTheme="majorHAnsi" w:cstheme="majorHAnsi"/>
              </w:rPr>
              <w:t xml:space="preserve"> </w:t>
            </w:r>
          </w:p>
        </w:tc>
      </w:tr>
      <w:tr w:rsidR="004655F8" w:rsidRPr="005F4791" w14:paraId="58233D79" w14:textId="77777777" w:rsidTr="004655F8">
        <w:trPr>
          <w:cantSplit/>
        </w:trPr>
        <w:tc>
          <w:tcPr>
            <w:tcW w:w="771" w:type="dxa"/>
          </w:tcPr>
          <w:p w14:paraId="18204E66" w14:textId="77777777" w:rsidR="004655F8" w:rsidRDefault="004655F8" w:rsidP="00A00E84">
            <w:pPr>
              <w:rPr>
                <w:rFonts w:asciiTheme="majorHAnsi" w:hAnsiTheme="majorHAnsi"/>
                <w:b/>
              </w:rPr>
            </w:pPr>
            <w:r>
              <w:rPr>
                <w:rFonts w:asciiTheme="majorHAnsi" w:hAnsiTheme="majorHAnsi"/>
                <w:b/>
              </w:rPr>
              <w:lastRenderedPageBreak/>
              <w:t>3</w:t>
            </w:r>
          </w:p>
          <w:p w14:paraId="2A6C4C63" w14:textId="77777777" w:rsidR="004655F8" w:rsidRDefault="004655F8" w:rsidP="00A00E84">
            <w:pPr>
              <w:rPr>
                <w:rFonts w:asciiTheme="majorHAnsi" w:hAnsiTheme="majorHAnsi"/>
                <w:b/>
              </w:rPr>
            </w:pPr>
          </w:p>
          <w:p w14:paraId="1CBFF7DC" w14:textId="1A1BB942" w:rsidR="004655F8" w:rsidRPr="005F4791" w:rsidRDefault="004655F8" w:rsidP="00A00E84">
            <w:pPr>
              <w:rPr>
                <w:rFonts w:asciiTheme="majorHAnsi" w:hAnsiTheme="majorHAnsi"/>
                <w:b/>
              </w:rPr>
            </w:pPr>
            <w:r>
              <w:rPr>
                <w:rFonts w:asciiTheme="majorHAnsi" w:hAnsiTheme="majorHAnsi"/>
                <w:b/>
              </w:rPr>
              <w:t>Sept. 1</w:t>
            </w:r>
            <w:r w:rsidR="00D730F2">
              <w:rPr>
                <w:rFonts w:asciiTheme="majorHAnsi" w:hAnsiTheme="majorHAnsi"/>
                <w:b/>
              </w:rPr>
              <w:t>1</w:t>
            </w:r>
          </w:p>
        </w:tc>
        <w:tc>
          <w:tcPr>
            <w:tcW w:w="8579" w:type="dxa"/>
          </w:tcPr>
          <w:p w14:paraId="319537BA" w14:textId="77777777" w:rsidR="004655F8" w:rsidRDefault="004655F8" w:rsidP="00A00E84">
            <w:pPr>
              <w:rPr>
                <w:rFonts w:asciiTheme="majorHAnsi" w:hAnsiTheme="majorHAnsi"/>
                <w:b/>
              </w:rPr>
            </w:pPr>
            <w:r>
              <w:rPr>
                <w:rFonts w:asciiTheme="majorHAnsi" w:hAnsiTheme="majorHAnsi"/>
                <w:b/>
              </w:rPr>
              <w:t>Social Resources</w:t>
            </w:r>
          </w:p>
          <w:p w14:paraId="2D5A195A" w14:textId="77777777" w:rsidR="00842B5C" w:rsidRPr="00842B5C" w:rsidRDefault="004655F8" w:rsidP="00842B5C">
            <w:pPr>
              <w:rPr>
                <w:rFonts w:asciiTheme="majorHAnsi" w:hAnsiTheme="majorHAnsi" w:cstheme="majorHAnsi"/>
              </w:rPr>
            </w:pPr>
            <w:r w:rsidRPr="00842B5C">
              <w:rPr>
                <w:rFonts w:asciiTheme="majorHAnsi" w:hAnsiTheme="majorHAnsi" w:cstheme="majorHAnsi"/>
              </w:rPr>
              <w:t xml:space="preserve">Scott Chapter 11: Networks </w:t>
            </w:r>
            <w:proofErr w:type="gramStart"/>
            <w:r w:rsidRPr="00842B5C">
              <w:rPr>
                <w:rFonts w:asciiTheme="majorHAnsi" w:hAnsiTheme="majorHAnsi" w:cstheme="majorHAnsi"/>
              </w:rPr>
              <w:t>In</w:t>
            </w:r>
            <w:proofErr w:type="gramEnd"/>
            <w:r w:rsidRPr="00842B5C">
              <w:rPr>
                <w:rFonts w:asciiTheme="majorHAnsi" w:hAnsiTheme="majorHAnsi" w:cstheme="majorHAnsi"/>
              </w:rPr>
              <w:t xml:space="preserve"> and Around Organizations, pages 278-285.</w:t>
            </w:r>
          </w:p>
          <w:p w14:paraId="3F928101" w14:textId="748B5581" w:rsidR="00842B5C" w:rsidRPr="00842B5C" w:rsidRDefault="00842B5C" w:rsidP="00842B5C">
            <w:pPr>
              <w:spacing w:after="200"/>
              <w:rPr>
                <w:rFonts w:asciiTheme="majorHAnsi" w:hAnsiTheme="majorHAnsi" w:cstheme="majorHAnsi"/>
              </w:rPr>
            </w:pPr>
            <w:r w:rsidRPr="00842B5C">
              <w:rPr>
                <w:rFonts w:asciiTheme="majorHAnsi" w:eastAsiaTheme="minorEastAsia" w:hAnsiTheme="majorHAnsi" w:cstheme="majorHAnsi"/>
              </w:rPr>
              <w:t xml:space="preserve">Review the section on Social Resources in Spillane, Gomez &amp; </w:t>
            </w:r>
            <w:proofErr w:type="spellStart"/>
            <w:r w:rsidRPr="00842B5C">
              <w:rPr>
                <w:rFonts w:asciiTheme="majorHAnsi" w:eastAsiaTheme="minorEastAsia" w:hAnsiTheme="majorHAnsi" w:cstheme="majorHAnsi"/>
              </w:rPr>
              <w:t>Messler</w:t>
            </w:r>
            <w:proofErr w:type="spellEnd"/>
          </w:p>
          <w:p w14:paraId="397A5EBA" w14:textId="0E5B35D3" w:rsidR="00043D85" w:rsidRPr="00043D85" w:rsidRDefault="00043D85" w:rsidP="00043D85">
            <w:pPr>
              <w:rPr>
                <w:rFonts w:asciiTheme="majorHAnsi" w:hAnsiTheme="majorHAnsi" w:cstheme="majorHAnsi"/>
                <w:sz w:val="36"/>
              </w:rPr>
            </w:pPr>
            <w:r w:rsidRPr="00043D85">
              <w:rPr>
                <w:rFonts w:asciiTheme="majorHAnsi" w:hAnsiTheme="majorHAnsi" w:cstheme="majorHAnsi"/>
                <w:color w:val="222222"/>
                <w:szCs w:val="20"/>
                <w:shd w:val="clear" w:color="auto" w:fill="FFFFFF"/>
              </w:rPr>
              <w:t xml:space="preserve">Daly, A. J., </w:t>
            </w:r>
            <w:proofErr w:type="spellStart"/>
            <w:r w:rsidRPr="00043D85">
              <w:rPr>
                <w:rFonts w:asciiTheme="majorHAnsi" w:hAnsiTheme="majorHAnsi" w:cstheme="majorHAnsi"/>
                <w:color w:val="222222"/>
                <w:szCs w:val="20"/>
                <w:shd w:val="clear" w:color="auto" w:fill="FFFFFF"/>
              </w:rPr>
              <w:t>Moolenaar</w:t>
            </w:r>
            <w:proofErr w:type="spellEnd"/>
            <w:r w:rsidRPr="00043D85">
              <w:rPr>
                <w:rFonts w:asciiTheme="majorHAnsi" w:hAnsiTheme="majorHAnsi" w:cstheme="majorHAnsi"/>
                <w:color w:val="222222"/>
                <w:szCs w:val="20"/>
                <w:shd w:val="clear" w:color="auto" w:fill="FFFFFF"/>
              </w:rPr>
              <w:t>, N. M., Bolivar, J. M., &amp; Burke, P. (2010). Relationships in reform: The role of teachers' social networks. </w:t>
            </w:r>
            <w:r w:rsidRPr="00043D85">
              <w:rPr>
                <w:rFonts w:asciiTheme="majorHAnsi" w:hAnsiTheme="majorHAnsi" w:cstheme="majorHAnsi"/>
                <w:i/>
                <w:iCs/>
                <w:color w:val="222222"/>
                <w:szCs w:val="20"/>
                <w:shd w:val="clear" w:color="auto" w:fill="FFFFFF"/>
              </w:rPr>
              <w:t xml:space="preserve">Journal of </w:t>
            </w:r>
            <w:r w:rsidR="003C2190">
              <w:rPr>
                <w:rFonts w:asciiTheme="majorHAnsi" w:hAnsiTheme="majorHAnsi" w:cstheme="majorHAnsi"/>
                <w:i/>
                <w:iCs/>
                <w:color w:val="222222"/>
                <w:szCs w:val="20"/>
                <w:shd w:val="clear" w:color="auto" w:fill="FFFFFF"/>
              </w:rPr>
              <w:t>E</w:t>
            </w:r>
            <w:r w:rsidRPr="00043D85">
              <w:rPr>
                <w:rFonts w:asciiTheme="majorHAnsi" w:hAnsiTheme="majorHAnsi" w:cstheme="majorHAnsi"/>
                <w:i/>
                <w:iCs/>
                <w:color w:val="222222"/>
                <w:szCs w:val="20"/>
                <w:shd w:val="clear" w:color="auto" w:fill="FFFFFF"/>
              </w:rPr>
              <w:t xml:space="preserve">ducational </w:t>
            </w:r>
            <w:r w:rsidR="003C2190">
              <w:rPr>
                <w:rFonts w:asciiTheme="majorHAnsi" w:hAnsiTheme="majorHAnsi" w:cstheme="majorHAnsi"/>
                <w:i/>
                <w:iCs/>
                <w:color w:val="222222"/>
                <w:szCs w:val="20"/>
                <w:shd w:val="clear" w:color="auto" w:fill="FFFFFF"/>
              </w:rPr>
              <w:t>A</w:t>
            </w:r>
            <w:r w:rsidRPr="00043D85">
              <w:rPr>
                <w:rFonts w:asciiTheme="majorHAnsi" w:hAnsiTheme="majorHAnsi" w:cstheme="majorHAnsi"/>
                <w:i/>
                <w:iCs/>
                <w:color w:val="222222"/>
                <w:szCs w:val="20"/>
                <w:shd w:val="clear" w:color="auto" w:fill="FFFFFF"/>
              </w:rPr>
              <w:t>dministration</w:t>
            </w:r>
            <w:r w:rsidRPr="00043D85">
              <w:rPr>
                <w:rFonts w:asciiTheme="majorHAnsi" w:hAnsiTheme="majorHAnsi" w:cstheme="majorHAnsi"/>
                <w:color w:val="222222"/>
                <w:szCs w:val="20"/>
                <w:shd w:val="clear" w:color="auto" w:fill="FFFFFF"/>
              </w:rPr>
              <w:t>, </w:t>
            </w:r>
            <w:r w:rsidRPr="00043D85">
              <w:rPr>
                <w:rFonts w:asciiTheme="majorHAnsi" w:hAnsiTheme="majorHAnsi" w:cstheme="majorHAnsi"/>
                <w:i/>
                <w:iCs/>
                <w:color w:val="222222"/>
                <w:szCs w:val="20"/>
                <w:shd w:val="clear" w:color="auto" w:fill="FFFFFF"/>
              </w:rPr>
              <w:t>48</w:t>
            </w:r>
            <w:r w:rsidRPr="00043D85">
              <w:rPr>
                <w:rFonts w:asciiTheme="majorHAnsi" w:hAnsiTheme="majorHAnsi" w:cstheme="majorHAnsi"/>
                <w:color w:val="222222"/>
                <w:szCs w:val="20"/>
                <w:shd w:val="clear" w:color="auto" w:fill="FFFFFF"/>
              </w:rPr>
              <w:t>(3), 359-391.</w:t>
            </w:r>
          </w:p>
          <w:p w14:paraId="4333058A" w14:textId="77777777" w:rsidR="00043D85" w:rsidRPr="005260C9" w:rsidRDefault="00043D85" w:rsidP="00043D85">
            <w:pPr>
              <w:rPr>
                <w:rFonts w:asciiTheme="majorHAnsi" w:hAnsiTheme="majorHAnsi" w:cstheme="majorHAnsi"/>
              </w:rPr>
            </w:pPr>
          </w:p>
          <w:p w14:paraId="6297FF6B" w14:textId="21F0423D" w:rsidR="00043D85" w:rsidRDefault="00043D85" w:rsidP="00043D85">
            <w:pPr>
              <w:rPr>
                <w:rFonts w:asciiTheme="majorHAnsi" w:hAnsiTheme="majorHAnsi" w:cstheme="majorHAnsi"/>
                <w:color w:val="222222"/>
                <w:shd w:val="clear" w:color="auto" w:fill="FFFFFF"/>
              </w:rPr>
            </w:pPr>
            <w:r w:rsidRPr="005260C9">
              <w:rPr>
                <w:rFonts w:asciiTheme="majorHAnsi" w:hAnsiTheme="majorHAnsi" w:cstheme="majorHAnsi"/>
                <w:color w:val="222222"/>
                <w:shd w:val="clear" w:color="auto" w:fill="FFFFFF"/>
              </w:rPr>
              <w:t>Bryk, A. S., &amp; Schneider, B. (2003). Trust in schools: A core resource for school reform. </w:t>
            </w:r>
            <w:r w:rsidRPr="005260C9">
              <w:rPr>
                <w:rFonts w:asciiTheme="majorHAnsi" w:hAnsiTheme="majorHAnsi" w:cstheme="majorHAnsi"/>
                <w:i/>
                <w:iCs/>
                <w:color w:val="222222"/>
                <w:shd w:val="clear" w:color="auto" w:fill="FFFFFF"/>
              </w:rPr>
              <w:t xml:space="preserve">Educational </w:t>
            </w:r>
            <w:r w:rsidR="00842B5C">
              <w:rPr>
                <w:rFonts w:asciiTheme="majorHAnsi" w:hAnsiTheme="majorHAnsi" w:cstheme="majorHAnsi"/>
                <w:i/>
                <w:iCs/>
                <w:color w:val="222222"/>
                <w:shd w:val="clear" w:color="auto" w:fill="FFFFFF"/>
              </w:rPr>
              <w:t>L</w:t>
            </w:r>
            <w:r w:rsidRPr="005260C9">
              <w:rPr>
                <w:rFonts w:asciiTheme="majorHAnsi" w:hAnsiTheme="majorHAnsi" w:cstheme="majorHAnsi"/>
                <w:i/>
                <w:iCs/>
                <w:color w:val="222222"/>
                <w:shd w:val="clear" w:color="auto" w:fill="FFFFFF"/>
              </w:rPr>
              <w:t>eadership</w:t>
            </w:r>
            <w:r w:rsidRPr="005260C9">
              <w:rPr>
                <w:rFonts w:asciiTheme="majorHAnsi" w:hAnsiTheme="majorHAnsi" w:cstheme="majorHAnsi"/>
                <w:color w:val="222222"/>
                <w:shd w:val="clear" w:color="auto" w:fill="FFFFFF"/>
              </w:rPr>
              <w:t>, </w:t>
            </w:r>
            <w:r w:rsidRPr="005260C9">
              <w:rPr>
                <w:rFonts w:asciiTheme="majorHAnsi" w:hAnsiTheme="majorHAnsi" w:cstheme="majorHAnsi"/>
                <w:i/>
                <w:iCs/>
                <w:color w:val="222222"/>
                <w:shd w:val="clear" w:color="auto" w:fill="FFFFFF"/>
              </w:rPr>
              <w:t>60</w:t>
            </w:r>
            <w:r w:rsidRPr="005260C9">
              <w:rPr>
                <w:rFonts w:asciiTheme="majorHAnsi" w:hAnsiTheme="majorHAnsi" w:cstheme="majorHAnsi"/>
                <w:color w:val="222222"/>
                <w:shd w:val="clear" w:color="auto" w:fill="FFFFFF"/>
              </w:rPr>
              <w:t>(6), 40-45.</w:t>
            </w:r>
          </w:p>
          <w:p w14:paraId="60CDA1E5" w14:textId="77777777" w:rsidR="001131E3" w:rsidRDefault="001131E3" w:rsidP="00043D85">
            <w:pPr>
              <w:rPr>
                <w:rFonts w:asciiTheme="majorHAnsi" w:hAnsiTheme="majorHAnsi" w:cstheme="majorHAnsi"/>
                <w:color w:val="222222"/>
                <w:shd w:val="clear" w:color="auto" w:fill="FFFFFF"/>
              </w:rPr>
            </w:pPr>
          </w:p>
          <w:p w14:paraId="12C89629" w14:textId="67E12D41" w:rsidR="00AE20F7" w:rsidRPr="00D404B9" w:rsidRDefault="008D3ADD" w:rsidP="00D404B9">
            <w:pPr>
              <w:ind w:left="14"/>
              <w:rPr>
                <w:rFonts w:asciiTheme="majorHAnsi" w:hAnsiTheme="majorHAnsi"/>
              </w:rPr>
            </w:pPr>
            <w:r w:rsidRPr="00D404B9">
              <w:rPr>
                <w:rFonts w:asciiTheme="majorHAnsi" w:hAnsiTheme="majorHAnsi"/>
              </w:rPr>
              <w:t>Spillane, J. P., Halverson, R., &amp; Diamond, J. B. (2001). Investigating school leadership practice: A distributed perspective. </w:t>
            </w:r>
            <w:r w:rsidRPr="00D404B9">
              <w:rPr>
                <w:rFonts w:asciiTheme="majorHAnsi" w:hAnsiTheme="majorHAnsi"/>
                <w:i/>
                <w:iCs/>
              </w:rPr>
              <w:t>Educational Researcher</w:t>
            </w:r>
            <w:r w:rsidRPr="00D404B9">
              <w:rPr>
                <w:rFonts w:asciiTheme="majorHAnsi" w:hAnsiTheme="majorHAnsi"/>
              </w:rPr>
              <w:t>, </w:t>
            </w:r>
            <w:r w:rsidRPr="00D404B9">
              <w:rPr>
                <w:rFonts w:asciiTheme="majorHAnsi" w:hAnsiTheme="majorHAnsi"/>
                <w:i/>
                <w:iCs/>
              </w:rPr>
              <w:t>30</w:t>
            </w:r>
            <w:r w:rsidRPr="00D404B9">
              <w:rPr>
                <w:rFonts w:asciiTheme="majorHAnsi" w:hAnsiTheme="majorHAnsi"/>
              </w:rPr>
              <w:t>(3), 23-28.</w:t>
            </w:r>
          </w:p>
          <w:p w14:paraId="122026A4" w14:textId="77777777" w:rsidR="00842B5C" w:rsidRDefault="00842B5C" w:rsidP="00842B5C">
            <w:pPr>
              <w:rPr>
                <w:rFonts w:asciiTheme="majorHAnsi" w:hAnsiTheme="majorHAnsi"/>
              </w:rPr>
            </w:pPr>
          </w:p>
          <w:p w14:paraId="0F821F80" w14:textId="76770EAF" w:rsidR="00842B5C" w:rsidRPr="0087248B" w:rsidRDefault="00842B5C" w:rsidP="00842B5C">
            <w:pPr>
              <w:rPr>
                <w:rFonts w:asciiTheme="majorHAnsi" w:hAnsiTheme="majorHAnsi"/>
              </w:rPr>
            </w:pPr>
            <w:r w:rsidRPr="0087248B">
              <w:rPr>
                <w:rFonts w:asciiTheme="majorHAnsi" w:hAnsiTheme="majorHAnsi"/>
              </w:rPr>
              <w:t xml:space="preserve">Coburn, C. E., Russell, J. L., Kaufman, J. H., &amp; Stein, M. K. (2012). Supporting sustainability: Teachers’ advice networks and ambitious instructional reform. </w:t>
            </w:r>
            <w:r w:rsidRPr="0087248B">
              <w:rPr>
                <w:rFonts w:asciiTheme="majorHAnsi" w:hAnsiTheme="majorHAnsi"/>
                <w:i/>
                <w:iCs/>
              </w:rPr>
              <w:t>American Journal of Education</w:t>
            </w:r>
            <w:r w:rsidRPr="0087248B">
              <w:rPr>
                <w:rFonts w:asciiTheme="majorHAnsi" w:hAnsiTheme="majorHAnsi"/>
              </w:rPr>
              <w:t xml:space="preserve">, </w:t>
            </w:r>
            <w:r w:rsidRPr="0087248B">
              <w:rPr>
                <w:rFonts w:asciiTheme="majorHAnsi" w:hAnsiTheme="majorHAnsi"/>
                <w:i/>
                <w:iCs/>
              </w:rPr>
              <w:t>119</w:t>
            </w:r>
            <w:r w:rsidRPr="0087248B">
              <w:rPr>
                <w:rFonts w:asciiTheme="majorHAnsi" w:hAnsiTheme="majorHAnsi"/>
              </w:rPr>
              <w:t>(1), 137-182.</w:t>
            </w:r>
            <w:r>
              <w:rPr>
                <w:rFonts w:asciiTheme="majorHAnsi" w:hAnsiTheme="majorHAnsi"/>
              </w:rPr>
              <w:t xml:space="preserve"> </w:t>
            </w:r>
            <w:r w:rsidRPr="00842B5C">
              <w:rPr>
                <w:rFonts w:asciiTheme="majorHAnsi" w:hAnsiTheme="majorHAnsi"/>
                <w:b/>
              </w:rPr>
              <w:t>OPTIONAL</w:t>
            </w:r>
          </w:p>
          <w:p w14:paraId="0B946CEB" w14:textId="2B9D3B07" w:rsidR="004655F8" w:rsidRPr="00404803" w:rsidRDefault="004655F8" w:rsidP="001131E3">
            <w:pPr>
              <w:rPr>
                <w:rFonts w:asciiTheme="majorHAnsi" w:hAnsiTheme="majorHAnsi"/>
                <w:b/>
              </w:rPr>
            </w:pPr>
          </w:p>
        </w:tc>
      </w:tr>
      <w:tr w:rsidR="004655F8" w:rsidRPr="005F4791" w14:paraId="2F8F35A5" w14:textId="77777777" w:rsidTr="004655F8">
        <w:trPr>
          <w:cantSplit/>
        </w:trPr>
        <w:tc>
          <w:tcPr>
            <w:tcW w:w="771" w:type="dxa"/>
          </w:tcPr>
          <w:p w14:paraId="6901FCEA" w14:textId="77777777" w:rsidR="004655F8" w:rsidRDefault="004655F8" w:rsidP="00A00E84">
            <w:pPr>
              <w:rPr>
                <w:rFonts w:asciiTheme="majorHAnsi" w:hAnsiTheme="majorHAnsi"/>
                <w:b/>
              </w:rPr>
            </w:pPr>
            <w:r>
              <w:rPr>
                <w:rFonts w:asciiTheme="majorHAnsi" w:hAnsiTheme="majorHAnsi"/>
                <w:b/>
              </w:rPr>
              <w:t>4</w:t>
            </w:r>
          </w:p>
          <w:p w14:paraId="0C5097D2" w14:textId="77777777" w:rsidR="004655F8" w:rsidRDefault="004655F8" w:rsidP="00A00E84">
            <w:pPr>
              <w:rPr>
                <w:rFonts w:asciiTheme="majorHAnsi" w:hAnsiTheme="majorHAnsi"/>
                <w:b/>
              </w:rPr>
            </w:pPr>
          </w:p>
          <w:p w14:paraId="0ADCFB9B" w14:textId="11FDFC8B" w:rsidR="004655F8" w:rsidRDefault="00D730F2" w:rsidP="00A00E84">
            <w:pPr>
              <w:rPr>
                <w:rFonts w:asciiTheme="majorHAnsi" w:hAnsiTheme="majorHAnsi"/>
                <w:b/>
              </w:rPr>
            </w:pPr>
            <w:r>
              <w:rPr>
                <w:rFonts w:asciiTheme="majorHAnsi" w:hAnsiTheme="majorHAnsi"/>
                <w:b/>
              </w:rPr>
              <w:t>Sept. 18</w:t>
            </w:r>
          </w:p>
          <w:p w14:paraId="1A182314" w14:textId="5AAD1225" w:rsidR="004655F8" w:rsidRPr="005F4791" w:rsidRDefault="004655F8" w:rsidP="00A00E84">
            <w:pPr>
              <w:rPr>
                <w:rFonts w:asciiTheme="majorHAnsi" w:hAnsiTheme="majorHAnsi"/>
                <w:b/>
              </w:rPr>
            </w:pPr>
          </w:p>
        </w:tc>
        <w:tc>
          <w:tcPr>
            <w:tcW w:w="8579" w:type="dxa"/>
          </w:tcPr>
          <w:p w14:paraId="09602884" w14:textId="77777777" w:rsidR="004655F8" w:rsidRDefault="004655F8" w:rsidP="00A00E84">
            <w:pPr>
              <w:rPr>
                <w:rFonts w:asciiTheme="majorHAnsi" w:hAnsiTheme="majorHAnsi"/>
                <w:b/>
              </w:rPr>
            </w:pPr>
            <w:r>
              <w:rPr>
                <w:rFonts w:asciiTheme="majorHAnsi" w:hAnsiTheme="majorHAnsi"/>
                <w:b/>
              </w:rPr>
              <w:t>Tools / Core Technology</w:t>
            </w:r>
          </w:p>
          <w:p w14:paraId="69F7AA4F" w14:textId="77777777" w:rsidR="00561438" w:rsidRPr="00561438" w:rsidRDefault="00561438" w:rsidP="00561438">
            <w:pPr>
              <w:rPr>
                <w:rFonts w:asciiTheme="majorHAnsi" w:hAnsiTheme="majorHAnsi"/>
              </w:rPr>
            </w:pPr>
            <w:r w:rsidRPr="00561438">
              <w:rPr>
                <w:rFonts w:asciiTheme="majorHAnsi" w:hAnsiTheme="majorHAnsi"/>
              </w:rPr>
              <w:t>Guiding Question: How would you describe the core technology in schools? What implications does the nature of the core technology having for educational improvement?</w:t>
            </w:r>
          </w:p>
          <w:p w14:paraId="20A82555" w14:textId="77777777" w:rsidR="00561438" w:rsidRDefault="00561438" w:rsidP="004655F8">
            <w:pPr>
              <w:rPr>
                <w:rFonts w:asciiTheme="majorHAnsi" w:hAnsiTheme="majorHAnsi"/>
              </w:rPr>
            </w:pPr>
          </w:p>
          <w:p w14:paraId="7CD4D66E" w14:textId="77777777" w:rsidR="004655F8" w:rsidRPr="00EC1023" w:rsidRDefault="004655F8" w:rsidP="004655F8">
            <w:pPr>
              <w:rPr>
                <w:rFonts w:asciiTheme="majorHAnsi" w:hAnsiTheme="majorHAnsi"/>
              </w:rPr>
            </w:pPr>
            <w:r w:rsidRPr="00EC1023">
              <w:rPr>
                <w:rFonts w:asciiTheme="majorHAnsi" w:hAnsiTheme="majorHAnsi"/>
              </w:rPr>
              <w:t xml:space="preserve">Scott Chapter 6: Technology and Structure </w:t>
            </w:r>
          </w:p>
          <w:p w14:paraId="6CE7CF94" w14:textId="77777777" w:rsidR="004655F8" w:rsidRDefault="004655F8" w:rsidP="004655F8">
            <w:pPr>
              <w:rPr>
                <w:rFonts w:asciiTheme="majorHAnsi" w:hAnsiTheme="majorHAnsi"/>
              </w:rPr>
            </w:pPr>
          </w:p>
          <w:p w14:paraId="4677518E" w14:textId="77777777" w:rsidR="00561438" w:rsidRPr="00561438" w:rsidRDefault="00561438" w:rsidP="00561438">
            <w:pPr>
              <w:pStyle w:val="Default"/>
              <w:rPr>
                <w:rFonts w:asciiTheme="majorHAnsi" w:hAnsiTheme="majorHAnsi" w:cstheme="majorHAnsi"/>
              </w:rPr>
            </w:pPr>
            <w:r w:rsidRPr="00561438">
              <w:rPr>
                <w:rFonts w:asciiTheme="majorHAnsi" w:hAnsiTheme="majorHAnsi" w:cstheme="majorHAnsi"/>
              </w:rPr>
              <w:t>Rowan, B. (1994). Comparing teachers' work with work in other occupations: Notes on the professional status of teaching. </w:t>
            </w:r>
            <w:r w:rsidRPr="00561438">
              <w:rPr>
                <w:rFonts w:asciiTheme="majorHAnsi" w:hAnsiTheme="majorHAnsi" w:cstheme="majorHAnsi"/>
                <w:i/>
                <w:iCs/>
              </w:rPr>
              <w:t>Educational Researcher</w:t>
            </w:r>
            <w:r w:rsidRPr="00561438">
              <w:rPr>
                <w:rFonts w:asciiTheme="majorHAnsi" w:hAnsiTheme="majorHAnsi" w:cstheme="majorHAnsi"/>
              </w:rPr>
              <w:t>, </w:t>
            </w:r>
            <w:r w:rsidRPr="00561438">
              <w:rPr>
                <w:rFonts w:asciiTheme="majorHAnsi" w:hAnsiTheme="majorHAnsi" w:cstheme="majorHAnsi"/>
                <w:i/>
                <w:iCs/>
              </w:rPr>
              <w:t>23</w:t>
            </w:r>
            <w:r w:rsidRPr="00561438">
              <w:rPr>
                <w:rFonts w:asciiTheme="majorHAnsi" w:hAnsiTheme="majorHAnsi" w:cstheme="majorHAnsi"/>
              </w:rPr>
              <w:t xml:space="preserve">(6), 4-17. </w:t>
            </w:r>
          </w:p>
          <w:p w14:paraId="3BB1C173" w14:textId="77777777" w:rsidR="009D50F3" w:rsidRDefault="009D50F3" w:rsidP="004655F8">
            <w:pPr>
              <w:rPr>
                <w:rFonts w:asciiTheme="majorHAnsi" w:hAnsiTheme="majorHAnsi"/>
              </w:rPr>
            </w:pPr>
          </w:p>
          <w:p w14:paraId="46CC5838" w14:textId="77777777" w:rsidR="004655F8" w:rsidRPr="009E63CD" w:rsidRDefault="004655F8" w:rsidP="004655F8">
            <w:pPr>
              <w:widowControl w:val="0"/>
              <w:autoSpaceDE w:val="0"/>
              <w:autoSpaceDN w:val="0"/>
              <w:adjustRightInd w:val="0"/>
              <w:rPr>
                <w:rFonts w:asciiTheme="majorHAnsi" w:hAnsiTheme="majorHAnsi"/>
              </w:rPr>
            </w:pPr>
            <w:r w:rsidRPr="009E63CD">
              <w:rPr>
                <w:rFonts w:asciiTheme="majorHAnsi" w:hAnsiTheme="majorHAnsi"/>
              </w:rPr>
              <w:t>Collins, A. &amp; Halverson, R. (2010). The second educational revolution:</w:t>
            </w:r>
          </w:p>
          <w:p w14:paraId="28613C67" w14:textId="77777777" w:rsidR="004655F8" w:rsidRPr="009E63CD" w:rsidRDefault="004655F8" w:rsidP="004655F8">
            <w:pPr>
              <w:widowControl w:val="0"/>
              <w:autoSpaceDE w:val="0"/>
              <w:autoSpaceDN w:val="0"/>
              <w:adjustRightInd w:val="0"/>
              <w:rPr>
                <w:rFonts w:asciiTheme="majorHAnsi" w:hAnsiTheme="majorHAnsi"/>
                <w:i/>
              </w:rPr>
            </w:pPr>
            <w:r>
              <w:rPr>
                <w:rFonts w:asciiTheme="majorHAnsi" w:hAnsiTheme="majorHAnsi"/>
              </w:rPr>
              <w:t>R</w:t>
            </w:r>
            <w:r w:rsidRPr="009E63CD">
              <w:rPr>
                <w:rFonts w:asciiTheme="majorHAnsi" w:hAnsiTheme="majorHAnsi"/>
              </w:rPr>
              <w:t xml:space="preserve">ethinking education in the age of technology. </w:t>
            </w:r>
            <w:r w:rsidRPr="009E63CD">
              <w:rPr>
                <w:rFonts w:asciiTheme="majorHAnsi" w:hAnsiTheme="majorHAnsi"/>
                <w:i/>
              </w:rPr>
              <w:t>Journal of Computer Assisted</w:t>
            </w:r>
          </w:p>
          <w:p w14:paraId="35571003" w14:textId="77777777" w:rsidR="004655F8" w:rsidRPr="00EC1023" w:rsidRDefault="004655F8" w:rsidP="004655F8">
            <w:pPr>
              <w:rPr>
                <w:rFonts w:asciiTheme="majorHAnsi" w:hAnsiTheme="majorHAnsi"/>
              </w:rPr>
            </w:pPr>
            <w:r w:rsidRPr="009E63CD">
              <w:rPr>
                <w:rFonts w:asciiTheme="majorHAnsi" w:hAnsiTheme="majorHAnsi"/>
                <w:i/>
              </w:rPr>
              <w:t>Learning, 26</w:t>
            </w:r>
            <w:r w:rsidRPr="009E63CD">
              <w:rPr>
                <w:rFonts w:asciiTheme="majorHAnsi" w:hAnsiTheme="majorHAnsi"/>
              </w:rPr>
              <w:t>(1) 18-27.</w:t>
            </w:r>
          </w:p>
          <w:p w14:paraId="6BF2F9C6" w14:textId="3E02BF44" w:rsidR="004E5269" w:rsidRDefault="00561438" w:rsidP="004E5269">
            <w:pPr>
              <w:rPr>
                <w:rFonts w:asciiTheme="majorHAnsi" w:hAnsiTheme="majorHAnsi"/>
                <w:b/>
              </w:rPr>
            </w:pPr>
            <w:r>
              <w:rPr>
                <w:rFonts w:asciiTheme="majorHAnsi" w:hAnsiTheme="majorHAnsi"/>
                <w:b/>
              </w:rPr>
              <w:t>OR</w:t>
            </w:r>
          </w:p>
          <w:p w14:paraId="63651D02" w14:textId="23825D7B" w:rsidR="004E5269" w:rsidRDefault="004E5269" w:rsidP="004E5269">
            <w:pPr>
              <w:rPr>
                <w:rFonts w:asciiTheme="majorHAnsi" w:hAnsiTheme="majorHAnsi"/>
              </w:rPr>
            </w:pPr>
            <w:r w:rsidRPr="00EC1023">
              <w:rPr>
                <w:rFonts w:asciiTheme="majorHAnsi" w:hAnsiTheme="majorHAnsi"/>
              </w:rPr>
              <w:t xml:space="preserve">Kraft, M. A., </w:t>
            </w:r>
            <w:proofErr w:type="spellStart"/>
            <w:r w:rsidRPr="00EC1023">
              <w:rPr>
                <w:rFonts w:asciiTheme="majorHAnsi" w:hAnsiTheme="majorHAnsi"/>
              </w:rPr>
              <w:t>Papay</w:t>
            </w:r>
            <w:proofErr w:type="spellEnd"/>
            <w:r w:rsidRPr="00EC1023">
              <w:rPr>
                <w:rFonts w:asciiTheme="majorHAnsi" w:hAnsiTheme="majorHAnsi"/>
              </w:rPr>
              <w:t xml:space="preserve">, J. P., Johnson, S. M., </w:t>
            </w:r>
            <w:proofErr w:type="spellStart"/>
            <w:r w:rsidRPr="00EC1023">
              <w:rPr>
                <w:rFonts w:asciiTheme="majorHAnsi" w:hAnsiTheme="majorHAnsi"/>
              </w:rPr>
              <w:t>Charner</w:t>
            </w:r>
            <w:proofErr w:type="spellEnd"/>
            <w:r w:rsidRPr="00EC1023">
              <w:rPr>
                <w:rFonts w:asciiTheme="majorHAnsi" w:hAnsiTheme="majorHAnsi"/>
              </w:rPr>
              <w:t xml:space="preserve">-Laird, M., Ng, M., &amp; </w:t>
            </w:r>
            <w:proofErr w:type="spellStart"/>
            <w:r w:rsidRPr="00EC1023">
              <w:rPr>
                <w:rFonts w:asciiTheme="majorHAnsi" w:hAnsiTheme="majorHAnsi"/>
              </w:rPr>
              <w:t>Reinhorn</w:t>
            </w:r>
            <w:proofErr w:type="spellEnd"/>
            <w:r w:rsidRPr="00EC1023">
              <w:rPr>
                <w:rFonts w:asciiTheme="majorHAnsi" w:hAnsiTheme="majorHAnsi"/>
              </w:rPr>
              <w:t xml:space="preserve">, S. (2015). Educating </w:t>
            </w:r>
            <w:r w:rsidR="005260C9">
              <w:rPr>
                <w:rFonts w:asciiTheme="majorHAnsi" w:hAnsiTheme="majorHAnsi"/>
              </w:rPr>
              <w:t>a</w:t>
            </w:r>
            <w:r w:rsidRPr="00EC1023">
              <w:rPr>
                <w:rFonts w:asciiTheme="majorHAnsi" w:hAnsiTheme="majorHAnsi"/>
              </w:rPr>
              <w:t xml:space="preserve">mid </w:t>
            </w:r>
            <w:r w:rsidR="005260C9">
              <w:rPr>
                <w:rFonts w:asciiTheme="majorHAnsi" w:hAnsiTheme="majorHAnsi"/>
              </w:rPr>
              <w:t>u</w:t>
            </w:r>
            <w:r w:rsidRPr="00EC1023">
              <w:rPr>
                <w:rFonts w:asciiTheme="majorHAnsi" w:hAnsiTheme="majorHAnsi"/>
              </w:rPr>
              <w:t xml:space="preserve">ncertainty </w:t>
            </w:r>
            <w:r w:rsidR="005260C9">
              <w:rPr>
                <w:rFonts w:asciiTheme="majorHAnsi" w:hAnsiTheme="majorHAnsi"/>
              </w:rPr>
              <w:t>t</w:t>
            </w:r>
            <w:r w:rsidRPr="00EC1023">
              <w:rPr>
                <w:rFonts w:asciiTheme="majorHAnsi" w:hAnsiTheme="majorHAnsi"/>
              </w:rPr>
              <w:t xml:space="preserve">he </w:t>
            </w:r>
            <w:r w:rsidR="005260C9">
              <w:rPr>
                <w:rFonts w:asciiTheme="majorHAnsi" w:hAnsiTheme="majorHAnsi"/>
              </w:rPr>
              <w:t>o</w:t>
            </w:r>
            <w:r w:rsidRPr="00EC1023">
              <w:rPr>
                <w:rFonts w:asciiTheme="majorHAnsi" w:hAnsiTheme="majorHAnsi"/>
              </w:rPr>
              <w:t xml:space="preserve">rganizational </w:t>
            </w:r>
            <w:r w:rsidR="005260C9">
              <w:rPr>
                <w:rFonts w:asciiTheme="majorHAnsi" w:hAnsiTheme="majorHAnsi"/>
              </w:rPr>
              <w:t>s</w:t>
            </w:r>
            <w:r w:rsidRPr="00EC1023">
              <w:rPr>
                <w:rFonts w:asciiTheme="majorHAnsi" w:hAnsiTheme="majorHAnsi"/>
              </w:rPr>
              <w:t xml:space="preserve">upports </w:t>
            </w:r>
            <w:r w:rsidR="005260C9">
              <w:rPr>
                <w:rFonts w:asciiTheme="majorHAnsi" w:hAnsiTheme="majorHAnsi"/>
              </w:rPr>
              <w:t>t</w:t>
            </w:r>
            <w:r w:rsidRPr="00EC1023">
              <w:rPr>
                <w:rFonts w:asciiTheme="majorHAnsi" w:hAnsiTheme="majorHAnsi"/>
              </w:rPr>
              <w:t xml:space="preserve">eachers </w:t>
            </w:r>
            <w:r w:rsidR="005260C9">
              <w:rPr>
                <w:rFonts w:asciiTheme="majorHAnsi" w:hAnsiTheme="majorHAnsi"/>
              </w:rPr>
              <w:t>n</w:t>
            </w:r>
            <w:r w:rsidRPr="00EC1023">
              <w:rPr>
                <w:rFonts w:asciiTheme="majorHAnsi" w:hAnsiTheme="majorHAnsi"/>
              </w:rPr>
              <w:t xml:space="preserve">eed to </w:t>
            </w:r>
            <w:r w:rsidR="005260C9">
              <w:rPr>
                <w:rFonts w:asciiTheme="majorHAnsi" w:hAnsiTheme="majorHAnsi"/>
              </w:rPr>
              <w:t>s</w:t>
            </w:r>
            <w:r w:rsidRPr="00EC1023">
              <w:rPr>
                <w:rFonts w:asciiTheme="majorHAnsi" w:hAnsiTheme="majorHAnsi"/>
              </w:rPr>
              <w:t xml:space="preserve">erve </w:t>
            </w:r>
            <w:r w:rsidR="005260C9">
              <w:rPr>
                <w:rFonts w:asciiTheme="majorHAnsi" w:hAnsiTheme="majorHAnsi"/>
              </w:rPr>
              <w:t>s</w:t>
            </w:r>
            <w:r w:rsidRPr="00EC1023">
              <w:rPr>
                <w:rFonts w:asciiTheme="majorHAnsi" w:hAnsiTheme="majorHAnsi"/>
              </w:rPr>
              <w:t xml:space="preserve">tudents in </w:t>
            </w:r>
            <w:r w:rsidR="005260C9">
              <w:rPr>
                <w:rFonts w:asciiTheme="majorHAnsi" w:hAnsiTheme="majorHAnsi"/>
              </w:rPr>
              <w:t>h</w:t>
            </w:r>
            <w:r w:rsidRPr="00EC1023">
              <w:rPr>
                <w:rFonts w:asciiTheme="majorHAnsi" w:hAnsiTheme="majorHAnsi"/>
              </w:rPr>
              <w:t>igh-</w:t>
            </w:r>
            <w:r w:rsidR="005260C9">
              <w:rPr>
                <w:rFonts w:asciiTheme="majorHAnsi" w:hAnsiTheme="majorHAnsi"/>
              </w:rPr>
              <w:t>p</w:t>
            </w:r>
            <w:r w:rsidRPr="00EC1023">
              <w:rPr>
                <w:rFonts w:asciiTheme="majorHAnsi" w:hAnsiTheme="majorHAnsi"/>
              </w:rPr>
              <w:t xml:space="preserve">overty, </w:t>
            </w:r>
            <w:r w:rsidR="005260C9">
              <w:rPr>
                <w:rFonts w:asciiTheme="majorHAnsi" w:hAnsiTheme="majorHAnsi"/>
              </w:rPr>
              <w:t>u</w:t>
            </w:r>
            <w:r w:rsidRPr="00EC1023">
              <w:rPr>
                <w:rFonts w:asciiTheme="majorHAnsi" w:hAnsiTheme="majorHAnsi"/>
              </w:rPr>
              <w:t xml:space="preserve">rban </w:t>
            </w:r>
            <w:r w:rsidR="005260C9">
              <w:rPr>
                <w:rFonts w:asciiTheme="majorHAnsi" w:hAnsiTheme="majorHAnsi"/>
              </w:rPr>
              <w:t>s</w:t>
            </w:r>
            <w:r w:rsidRPr="00EC1023">
              <w:rPr>
                <w:rFonts w:asciiTheme="majorHAnsi" w:hAnsiTheme="majorHAnsi"/>
              </w:rPr>
              <w:t xml:space="preserve">chools. </w:t>
            </w:r>
            <w:r w:rsidRPr="00EC1023">
              <w:rPr>
                <w:rFonts w:asciiTheme="majorHAnsi" w:hAnsiTheme="majorHAnsi"/>
                <w:i/>
                <w:iCs/>
              </w:rPr>
              <w:t>Educational Administration Quarterly</w:t>
            </w:r>
            <w:r w:rsidRPr="00EC1023">
              <w:rPr>
                <w:rFonts w:asciiTheme="majorHAnsi" w:hAnsiTheme="majorHAnsi"/>
              </w:rPr>
              <w:t xml:space="preserve">, </w:t>
            </w:r>
            <w:r w:rsidRPr="00EC1023">
              <w:rPr>
                <w:rFonts w:asciiTheme="majorHAnsi" w:hAnsiTheme="majorHAnsi"/>
                <w:i/>
                <w:iCs/>
              </w:rPr>
              <w:t>51</w:t>
            </w:r>
            <w:r w:rsidRPr="00EC1023">
              <w:rPr>
                <w:rFonts w:asciiTheme="majorHAnsi" w:hAnsiTheme="majorHAnsi"/>
              </w:rPr>
              <w:t>(5), 753-790.</w:t>
            </w:r>
          </w:p>
          <w:p w14:paraId="2B06664C" w14:textId="79D768C5" w:rsidR="004655F8" w:rsidRPr="00404803" w:rsidRDefault="004655F8" w:rsidP="004655F8">
            <w:pPr>
              <w:rPr>
                <w:rFonts w:asciiTheme="majorHAnsi" w:hAnsiTheme="majorHAnsi"/>
                <w:b/>
              </w:rPr>
            </w:pPr>
          </w:p>
        </w:tc>
      </w:tr>
      <w:tr w:rsidR="004655F8" w:rsidRPr="005F4791" w14:paraId="13C01127" w14:textId="77777777" w:rsidTr="004655F8">
        <w:trPr>
          <w:cantSplit/>
        </w:trPr>
        <w:tc>
          <w:tcPr>
            <w:tcW w:w="771" w:type="dxa"/>
          </w:tcPr>
          <w:p w14:paraId="3C9DEF0E" w14:textId="21293A28" w:rsidR="004655F8" w:rsidRDefault="004655F8" w:rsidP="00A00E84">
            <w:pPr>
              <w:rPr>
                <w:rFonts w:asciiTheme="majorHAnsi" w:hAnsiTheme="majorHAnsi"/>
                <w:b/>
              </w:rPr>
            </w:pPr>
            <w:r>
              <w:rPr>
                <w:rFonts w:asciiTheme="majorHAnsi" w:hAnsiTheme="majorHAnsi"/>
                <w:b/>
              </w:rPr>
              <w:lastRenderedPageBreak/>
              <w:t>5</w:t>
            </w:r>
          </w:p>
          <w:p w14:paraId="11E8CF38" w14:textId="77777777" w:rsidR="004655F8" w:rsidRDefault="004655F8" w:rsidP="00A00E84">
            <w:pPr>
              <w:rPr>
                <w:rFonts w:asciiTheme="majorHAnsi" w:hAnsiTheme="majorHAnsi"/>
                <w:b/>
              </w:rPr>
            </w:pPr>
          </w:p>
          <w:p w14:paraId="61881EEB" w14:textId="3049B1AD" w:rsidR="004655F8" w:rsidRPr="005F4791" w:rsidRDefault="004655F8" w:rsidP="00A00E84">
            <w:pPr>
              <w:rPr>
                <w:rFonts w:asciiTheme="majorHAnsi" w:hAnsiTheme="majorHAnsi"/>
                <w:b/>
              </w:rPr>
            </w:pPr>
            <w:r>
              <w:rPr>
                <w:rFonts w:asciiTheme="majorHAnsi" w:hAnsiTheme="majorHAnsi"/>
                <w:b/>
              </w:rPr>
              <w:t>Sept. 2</w:t>
            </w:r>
            <w:r w:rsidR="00D730F2">
              <w:rPr>
                <w:rFonts w:asciiTheme="majorHAnsi" w:hAnsiTheme="majorHAnsi"/>
                <w:b/>
              </w:rPr>
              <w:t>5</w:t>
            </w:r>
          </w:p>
        </w:tc>
        <w:tc>
          <w:tcPr>
            <w:tcW w:w="8579" w:type="dxa"/>
          </w:tcPr>
          <w:p w14:paraId="645998BB" w14:textId="77777777" w:rsidR="004655F8" w:rsidRDefault="004655F8" w:rsidP="00A00E84">
            <w:pPr>
              <w:rPr>
                <w:rFonts w:asciiTheme="majorHAnsi" w:hAnsiTheme="majorHAnsi"/>
                <w:b/>
              </w:rPr>
            </w:pPr>
            <w:r>
              <w:rPr>
                <w:rFonts w:asciiTheme="majorHAnsi" w:hAnsiTheme="majorHAnsi"/>
                <w:b/>
              </w:rPr>
              <w:t>Routines</w:t>
            </w:r>
          </w:p>
          <w:p w14:paraId="59B047F4" w14:textId="77777777" w:rsidR="001F100C" w:rsidRDefault="00561438" w:rsidP="00F95B05">
            <w:pPr>
              <w:rPr>
                <w:rFonts w:asciiTheme="majorHAnsi" w:hAnsiTheme="majorHAnsi"/>
              </w:rPr>
            </w:pPr>
            <w:r w:rsidRPr="00F95B05">
              <w:rPr>
                <w:rFonts w:asciiTheme="majorHAnsi" w:hAnsiTheme="majorHAnsi"/>
              </w:rPr>
              <w:t xml:space="preserve">Review Spillane, Gomez &amp; </w:t>
            </w:r>
            <w:proofErr w:type="spellStart"/>
            <w:r w:rsidRPr="00F95B05">
              <w:rPr>
                <w:rFonts w:asciiTheme="majorHAnsi" w:hAnsiTheme="majorHAnsi"/>
              </w:rPr>
              <w:t>Messler</w:t>
            </w:r>
            <w:proofErr w:type="spellEnd"/>
            <w:r w:rsidRPr="00F95B05">
              <w:rPr>
                <w:rFonts w:asciiTheme="majorHAnsi" w:hAnsiTheme="majorHAnsi"/>
              </w:rPr>
              <w:t xml:space="preserve"> section on routines.</w:t>
            </w:r>
          </w:p>
          <w:p w14:paraId="24E73443" w14:textId="77777777" w:rsidR="00F95B05" w:rsidRPr="00F95B05" w:rsidRDefault="00F95B05" w:rsidP="00F95B05">
            <w:pPr>
              <w:rPr>
                <w:rFonts w:asciiTheme="majorHAnsi" w:hAnsiTheme="majorHAnsi"/>
              </w:rPr>
            </w:pPr>
          </w:p>
          <w:p w14:paraId="5AC541C4" w14:textId="459769C5" w:rsidR="001F100C" w:rsidRPr="000E002B" w:rsidRDefault="00561438" w:rsidP="00F95B05">
            <w:r w:rsidRPr="00F95B05">
              <w:rPr>
                <w:rFonts w:asciiTheme="majorHAnsi" w:hAnsiTheme="majorHAnsi"/>
              </w:rPr>
              <w:t xml:space="preserve">Sherer, J. Z. &amp; Spillane, J. P. (2011). Constancy and change in school work practice: Exploring the role of organizational routines. </w:t>
            </w:r>
            <w:r w:rsidRPr="00F95B05">
              <w:rPr>
                <w:rFonts w:asciiTheme="majorHAnsi" w:hAnsiTheme="majorHAnsi"/>
                <w:i/>
                <w:iCs/>
              </w:rPr>
              <w:t xml:space="preserve">Teachers College </w:t>
            </w:r>
            <w:r w:rsidRPr="000E002B">
              <w:rPr>
                <w:rFonts w:asciiTheme="majorHAnsi" w:hAnsiTheme="majorHAnsi" w:cstheme="majorHAnsi"/>
                <w:i/>
                <w:iCs/>
              </w:rPr>
              <w:t>Record</w:t>
            </w:r>
            <w:r w:rsidRPr="000E002B">
              <w:rPr>
                <w:rFonts w:asciiTheme="majorHAnsi" w:hAnsiTheme="majorHAnsi" w:cstheme="majorHAnsi"/>
              </w:rPr>
              <w:t xml:space="preserve">. </w:t>
            </w:r>
            <w:r w:rsidR="000E002B" w:rsidRPr="000E002B">
              <w:rPr>
                <w:rFonts w:asciiTheme="majorHAnsi" w:hAnsiTheme="majorHAnsi" w:cstheme="majorHAnsi"/>
                <w:i/>
                <w:iCs/>
                <w:color w:val="222222"/>
                <w:shd w:val="clear" w:color="auto" w:fill="FFFFFF"/>
              </w:rPr>
              <w:t>113</w:t>
            </w:r>
            <w:r w:rsidR="000E002B" w:rsidRPr="000E002B">
              <w:rPr>
                <w:rFonts w:asciiTheme="majorHAnsi" w:hAnsiTheme="majorHAnsi" w:cstheme="majorHAnsi"/>
                <w:color w:val="222222"/>
                <w:shd w:val="clear" w:color="auto" w:fill="FFFFFF"/>
              </w:rPr>
              <w:t>(3), 611-657.</w:t>
            </w:r>
          </w:p>
          <w:p w14:paraId="54CCBD9D" w14:textId="77777777" w:rsidR="00F95B05" w:rsidRPr="00F95B05" w:rsidRDefault="00F95B05" w:rsidP="00F95B05">
            <w:pPr>
              <w:rPr>
                <w:rFonts w:asciiTheme="majorHAnsi" w:hAnsiTheme="majorHAnsi"/>
              </w:rPr>
            </w:pPr>
          </w:p>
          <w:p w14:paraId="5C78EC25" w14:textId="77777777" w:rsidR="001F100C" w:rsidRPr="00F95B05" w:rsidRDefault="00561438" w:rsidP="00F95B05">
            <w:pPr>
              <w:rPr>
                <w:rFonts w:asciiTheme="majorHAnsi" w:hAnsiTheme="majorHAnsi"/>
              </w:rPr>
            </w:pPr>
            <w:r w:rsidRPr="00F95B05">
              <w:rPr>
                <w:rFonts w:asciiTheme="majorHAnsi" w:hAnsiTheme="majorHAnsi"/>
              </w:rPr>
              <w:t xml:space="preserve">Hatch, T., Hill, K., &amp; </w:t>
            </w:r>
            <w:proofErr w:type="spellStart"/>
            <w:r w:rsidRPr="00F95B05">
              <w:rPr>
                <w:rFonts w:asciiTheme="majorHAnsi" w:hAnsiTheme="majorHAnsi"/>
              </w:rPr>
              <w:t>Roegman</w:t>
            </w:r>
            <w:proofErr w:type="spellEnd"/>
            <w:r w:rsidRPr="00F95B05">
              <w:rPr>
                <w:rFonts w:asciiTheme="majorHAnsi" w:hAnsiTheme="majorHAnsi"/>
              </w:rPr>
              <w:t xml:space="preserve">, R. (2016). Investigating the Role of Instructional Rounds in the Development of Social Networks and District-Wide Improvement. </w:t>
            </w:r>
            <w:r w:rsidRPr="00F95B05">
              <w:rPr>
                <w:rFonts w:asciiTheme="majorHAnsi" w:hAnsiTheme="majorHAnsi"/>
                <w:i/>
                <w:iCs/>
              </w:rPr>
              <w:t>American Educational Research Journal</w:t>
            </w:r>
            <w:r w:rsidRPr="00F95B05">
              <w:rPr>
                <w:rFonts w:asciiTheme="majorHAnsi" w:hAnsiTheme="majorHAnsi"/>
              </w:rPr>
              <w:t xml:space="preserve">, </w:t>
            </w:r>
            <w:r w:rsidRPr="00F95B05">
              <w:rPr>
                <w:rFonts w:asciiTheme="majorHAnsi" w:hAnsiTheme="majorHAnsi"/>
                <w:i/>
                <w:iCs/>
              </w:rPr>
              <w:t>53</w:t>
            </w:r>
            <w:r w:rsidRPr="00F95B05">
              <w:rPr>
                <w:rFonts w:asciiTheme="majorHAnsi" w:hAnsiTheme="majorHAnsi"/>
              </w:rPr>
              <w:t>(4), 1022-1053.</w:t>
            </w:r>
          </w:p>
          <w:p w14:paraId="26082F85" w14:textId="77777777" w:rsidR="001F100C" w:rsidRPr="00F95B05" w:rsidRDefault="00561438" w:rsidP="00F95B05">
            <w:pPr>
              <w:rPr>
                <w:rFonts w:asciiTheme="majorHAnsi" w:hAnsiTheme="majorHAnsi"/>
              </w:rPr>
            </w:pPr>
            <w:r w:rsidRPr="00F95B05">
              <w:rPr>
                <w:rFonts w:asciiTheme="majorHAnsi" w:hAnsiTheme="majorHAnsi"/>
                <w:b/>
                <w:bCs/>
              </w:rPr>
              <w:t>OR</w:t>
            </w:r>
          </w:p>
          <w:p w14:paraId="6A99B466" w14:textId="7739515E" w:rsidR="00E30922" w:rsidRPr="00561438" w:rsidRDefault="00561438" w:rsidP="00E30922">
            <w:pPr>
              <w:rPr>
                <w:rFonts w:asciiTheme="majorHAnsi" w:hAnsiTheme="majorHAnsi"/>
              </w:rPr>
            </w:pPr>
            <w:proofErr w:type="spellStart"/>
            <w:r w:rsidRPr="00F95B05">
              <w:rPr>
                <w:rFonts w:asciiTheme="majorHAnsi" w:hAnsiTheme="majorHAnsi"/>
              </w:rPr>
              <w:t>Stelitano</w:t>
            </w:r>
            <w:proofErr w:type="spellEnd"/>
            <w:r w:rsidRPr="00F95B05">
              <w:rPr>
                <w:rFonts w:asciiTheme="majorHAnsi" w:hAnsiTheme="majorHAnsi"/>
              </w:rPr>
              <w:t>, L. &amp; Russell, J. L. (Under review). Organizing for Inclusion: Exploring the</w:t>
            </w:r>
            <w:r w:rsidR="00F95B05">
              <w:rPr>
                <w:rFonts w:asciiTheme="majorHAnsi" w:hAnsiTheme="majorHAnsi"/>
              </w:rPr>
              <w:t xml:space="preserve"> </w:t>
            </w:r>
            <w:r w:rsidRPr="00F95B05">
              <w:rPr>
                <w:rFonts w:asciiTheme="majorHAnsi" w:hAnsiTheme="majorHAnsi"/>
              </w:rPr>
              <w:t xml:space="preserve">Routines that Shape Student Supports. </w:t>
            </w:r>
            <w:r w:rsidRPr="00F95B05">
              <w:rPr>
                <w:rFonts w:asciiTheme="majorHAnsi" w:hAnsiTheme="majorHAnsi"/>
                <w:i/>
                <w:iCs/>
              </w:rPr>
              <w:t>American Educational Research Journal.</w:t>
            </w:r>
          </w:p>
          <w:p w14:paraId="3E17024D" w14:textId="61FA1461" w:rsidR="00561438" w:rsidRPr="00E30922" w:rsidRDefault="00561438" w:rsidP="00E30922"/>
        </w:tc>
      </w:tr>
      <w:tr w:rsidR="00F95B05" w:rsidRPr="005F4791" w14:paraId="25845110" w14:textId="77777777" w:rsidTr="004655F8">
        <w:trPr>
          <w:cantSplit/>
        </w:trPr>
        <w:tc>
          <w:tcPr>
            <w:tcW w:w="771" w:type="dxa"/>
          </w:tcPr>
          <w:p w14:paraId="297503C5" w14:textId="77777777" w:rsidR="00F95B05" w:rsidRDefault="00F95B05" w:rsidP="00A00E84">
            <w:pPr>
              <w:rPr>
                <w:rFonts w:asciiTheme="majorHAnsi" w:hAnsiTheme="majorHAnsi"/>
                <w:b/>
              </w:rPr>
            </w:pPr>
            <w:r>
              <w:rPr>
                <w:rFonts w:asciiTheme="majorHAnsi" w:hAnsiTheme="majorHAnsi"/>
                <w:b/>
              </w:rPr>
              <w:t>6</w:t>
            </w:r>
          </w:p>
          <w:p w14:paraId="091E657A" w14:textId="77777777" w:rsidR="00561438" w:rsidRDefault="00561438" w:rsidP="00A00E84">
            <w:pPr>
              <w:rPr>
                <w:rFonts w:asciiTheme="majorHAnsi" w:hAnsiTheme="majorHAnsi"/>
                <w:b/>
              </w:rPr>
            </w:pPr>
          </w:p>
          <w:p w14:paraId="055F4245" w14:textId="6E27A2AE" w:rsidR="00561438" w:rsidRDefault="00561438" w:rsidP="00A00E84">
            <w:pPr>
              <w:rPr>
                <w:rFonts w:asciiTheme="majorHAnsi" w:hAnsiTheme="majorHAnsi"/>
                <w:b/>
              </w:rPr>
            </w:pPr>
            <w:r>
              <w:rPr>
                <w:rFonts w:asciiTheme="majorHAnsi" w:hAnsiTheme="majorHAnsi"/>
                <w:b/>
              </w:rPr>
              <w:t>Oct. 2</w:t>
            </w:r>
          </w:p>
        </w:tc>
        <w:tc>
          <w:tcPr>
            <w:tcW w:w="8579" w:type="dxa"/>
          </w:tcPr>
          <w:p w14:paraId="24915FD5" w14:textId="77777777" w:rsidR="00F95B05" w:rsidRDefault="00561438" w:rsidP="00A00E84">
            <w:pPr>
              <w:rPr>
                <w:rFonts w:asciiTheme="majorHAnsi" w:hAnsiTheme="majorHAnsi"/>
                <w:b/>
              </w:rPr>
            </w:pPr>
            <w:r>
              <w:rPr>
                <w:rFonts w:asciiTheme="majorHAnsi" w:hAnsiTheme="majorHAnsi"/>
                <w:b/>
              </w:rPr>
              <w:t>Review of Segment 1</w:t>
            </w:r>
          </w:p>
          <w:p w14:paraId="06202916" w14:textId="77777777" w:rsidR="00561438" w:rsidRDefault="00561438" w:rsidP="00561438">
            <w:pPr>
              <w:rPr>
                <w:rFonts w:asciiTheme="majorHAnsi" w:hAnsiTheme="majorHAnsi"/>
              </w:rPr>
            </w:pPr>
            <w:r w:rsidRPr="00561438">
              <w:rPr>
                <w:rFonts w:asciiTheme="majorHAnsi" w:hAnsiTheme="majorHAnsi"/>
              </w:rPr>
              <w:t xml:space="preserve">Bryk, A., Easton, J. Q., Sebring, P. D., </w:t>
            </w:r>
            <w:proofErr w:type="spellStart"/>
            <w:r w:rsidRPr="00561438">
              <w:rPr>
                <w:rFonts w:asciiTheme="majorHAnsi" w:hAnsiTheme="majorHAnsi"/>
              </w:rPr>
              <w:t>Allensworth</w:t>
            </w:r>
            <w:proofErr w:type="spellEnd"/>
            <w:r w:rsidRPr="00561438">
              <w:rPr>
                <w:rFonts w:asciiTheme="majorHAnsi" w:hAnsiTheme="majorHAnsi"/>
              </w:rPr>
              <w:t xml:space="preserve">, A. &amp; </w:t>
            </w:r>
            <w:proofErr w:type="spellStart"/>
            <w:r w:rsidRPr="00561438">
              <w:rPr>
                <w:rFonts w:asciiTheme="majorHAnsi" w:hAnsiTheme="majorHAnsi"/>
              </w:rPr>
              <w:t>Luppescu</w:t>
            </w:r>
            <w:proofErr w:type="spellEnd"/>
            <w:r w:rsidRPr="00561438">
              <w:rPr>
                <w:rFonts w:asciiTheme="majorHAnsi" w:hAnsiTheme="majorHAnsi"/>
              </w:rPr>
              <w:t xml:space="preserve">, S. (2011). </w:t>
            </w:r>
            <w:r w:rsidRPr="00561438">
              <w:rPr>
                <w:rFonts w:asciiTheme="majorHAnsi" w:hAnsiTheme="majorHAnsi"/>
                <w:i/>
              </w:rPr>
              <w:t>Organizing for school improvement: Lessons from Chicago</w:t>
            </w:r>
            <w:r w:rsidRPr="00561438">
              <w:rPr>
                <w:rFonts w:asciiTheme="majorHAnsi" w:hAnsiTheme="majorHAnsi"/>
              </w:rPr>
              <w:t xml:space="preserve">. Chicago: University of Chicago Press. </w:t>
            </w:r>
          </w:p>
          <w:p w14:paraId="6CF373FD" w14:textId="47191272" w:rsidR="00561438" w:rsidRPr="00561438" w:rsidRDefault="00561438" w:rsidP="00561438">
            <w:pPr>
              <w:rPr>
                <w:rFonts w:asciiTheme="majorHAnsi" w:hAnsiTheme="majorHAnsi"/>
              </w:rPr>
            </w:pPr>
            <w:r>
              <w:rPr>
                <w:rFonts w:asciiTheme="majorHAnsi" w:hAnsiTheme="majorHAnsi"/>
              </w:rPr>
              <w:t xml:space="preserve">[Map onto the Spillane, Gomez &amp; </w:t>
            </w:r>
            <w:proofErr w:type="spellStart"/>
            <w:r>
              <w:rPr>
                <w:rFonts w:asciiTheme="majorHAnsi" w:hAnsiTheme="majorHAnsi"/>
              </w:rPr>
              <w:t>Messler</w:t>
            </w:r>
            <w:proofErr w:type="spellEnd"/>
            <w:r>
              <w:rPr>
                <w:rFonts w:asciiTheme="majorHAnsi" w:hAnsiTheme="majorHAnsi"/>
              </w:rPr>
              <w:t xml:space="preserve"> Framework]</w:t>
            </w:r>
          </w:p>
          <w:p w14:paraId="327DF748" w14:textId="78162F44" w:rsidR="00561438" w:rsidRDefault="00561438" w:rsidP="00A00E84">
            <w:pPr>
              <w:rPr>
                <w:rFonts w:asciiTheme="majorHAnsi" w:hAnsiTheme="majorHAnsi"/>
                <w:b/>
              </w:rPr>
            </w:pPr>
          </w:p>
        </w:tc>
      </w:tr>
      <w:tr w:rsidR="005744CA" w:rsidRPr="005F4791" w14:paraId="4B8ED1F9" w14:textId="77777777" w:rsidTr="004655F8">
        <w:trPr>
          <w:cantSplit/>
        </w:trPr>
        <w:tc>
          <w:tcPr>
            <w:tcW w:w="771" w:type="dxa"/>
          </w:tcPr>
          <w:p w14:paraId="411A1F04" w14:textId="77777777" w:rsidR="005744CA" w:rsidRDefault="005744CA" w:rsidP="00A00E84">
            <w:pPr>
              <w:rPr>
                <w:rFonts w:asciiTheme="majorHAnsi" w:hAnsiTheme="majorHAnsi"/>
                <w:b/>
              </w:rPr>
            </w:pPr>
            <w:r>
              <w:rPr>
                <w:rFonts w:asciiTheme="majorHAnsi" w:hAnsiTheme="majorHAnsi"/>
                <w:b/>
              </w:rPr>
              <w:t>7</w:t>
            </w:r>
          </w:p>
          <w:p w14:paraId="728C8E48" w14:textId="77777777" w:rsidR="005744CA" w:rsidRDefault="005744CA" w:rsidP="00A00E84">
            <w:pPr>
              <w:rPr>
                <w:rFonts w:asciiTheme="majorHAnsi" w:hAnsiTheme="majorHAnsi"/>
                <w:b/>
              </w:rPr>
            </w:pPr>
          </w:p>
          <w:p w14:paraId="649C45F9" w14:textId="153B54F9" w:rsidR="005744CA" w:rsidRDefault="005744CA" w:rsidP="00A00E84">
            <w:pPr>
              <w:rPr>
                <w:rFonts w:asciiTheme="majorHAnsi" w:hAnsiTheme="majorHAnsi"/>
                <w:b/>
              </w:rPr>
            </w:pPr>
            <w:r>
              <w:rPr>
                <w:rFonts w:asciiTheme="majorHAnsi" w:hAnsiTheme="majorHAnsi"/>
                <w:b/>
              </w:rPr>
              <w:t>Oct. 9</w:t>
            </w:r>
          </w:p>
        </w:tc>
        <w:tc>
          <w:tcPr>
            <w:tcW w:w="8579" w:type="dxa"/>
          </w:tcPr>
          <w:p w14:paraId="5868C877" w14:textId="77777777" w:rsidR="005744CA" w:rsidRDefault="005744CA" w:rsidP="00A00E84">
            <w:pPr>
              <w:rPr>
                <w:rFonts w:asciiTheme="majorHAnsi" w:hAnsiTheme="majorHAnsi"/>
                <w:b/>
              </w:rPr>
            </w:pPr>
            <w:r>
              <w:rPr>
                <w:rFonts w:asciiTheme="majorHAnsi" w:hAnsiTheme="majorHAnsi"/>
                <w:b/>
              </w:rPr>
              <w:t>Case Analysis and Collaborative Design Projects</w:t>
            </w:r>
          </w:p>
          <w:p w14:paraId="5A355871" w14:textId="2F84C786" w:rsidR="005744CA" w:rsidRPr="005744CA" w:rsidRDefault="005744CA" w:rsidP="00A00E84">
            <w:pPr>
              <w:rPr>
                <w:rFonts w:asciiTheme="majorHAnsi" w:hAnsiTheme="majorHAnsi"/>
              </w:rPr>
            </w:pPr>
            <w:proofErr w:type="gramStart"/>
            <w:r>
              <w:rPr>
                <w:rFonts w:asciiTheme="majorHAnsi" w:hAnsiTheme="majorHAnsi"/>
              </w:rPr>
              <w:t>Plus</w:t>
            </w:r>
            <w:proofErr w:type="gramEnd"/>
            <w:r>
              <w:rPr>
                <w:rFonts w:asciiTheme="majorHAnsi" w:hAnsiTheme="majorHAnsi"/>
              </w:rPr>
              <w:t xml:space="preserve"> continued discussion of Organizing Schools for Improvement</w:t>
            </w:r>
          </w:p>
        </w:tc>
      </w:tr>
      <w:tr w:rsidR="004655F8" w:rsidRPr="004655F8" w14:paraId="03FA2388" w14:textId="77777777" w:rsidTr="00A00E84">
        <w:trPr>
          <w:cantSplit/>
          <w:trHeight w:val="377"/>
        </w:trPr>
        <w:tc>
          <w:tcPr>
            <w:tcW w:w="9350" w:type="dxa"/>
            <w:gridSpan w:val="2"/>
          </w:tcPr>
          <w:p w14:paraId="4DFD2826" w14:textId="3FEC5400" w:rsidR="004655F8" w:rsidRPr="004655F8" w:rsidRDefault="004655F8" w:rsidP="00A00E84">
            <w:pPr>
              <w:rPr>
                <w:rFonts w:asciiTheme="majorHAnsi" w:hAnsiTheme="majorHAnsi"/>
                <w:b/>
              </w:rPr>
            </w:pPr>
            <w:r w:rsidRPr="004655F8">
              <w:rPr>
                <w:rFonts w:asciiTheme="majorHAnsi" w:hAnsiTheme="majorHAnsi"/>
                <w:b/>
              </w:rPr>
              <w:t>Segment 2: Organizational Learning</w:t>
            </w:r>
          </w:p>
        </w:tc>
      </w:tr>
      <w:tr w:rsidR="004655F8" w:rsidRPr="005F4791" w14:paraId="70B82996" w14:textId="77777777" w:rsidTr="004655F8">
        <w:trPr>
          <w:cantSplit/>
        </w:trPr>
        <w:tc>
          <w:tcPr>
            <w:tcW w:w="771" w:type="dxa"/>
          </w:tcPr>
          <w:p w14:paraId="38B1BC6D" w14:textId="24E1DFAB" w:rsidR="004655F8" w:rsidRDefault="005744CA" w:rsidP="00A00E84">
            <w:pPr>
              <w:rPr>
                <w:rFonts w:asciiTheme="majorHAnsi" w:hAnsiTheme="majorHAnsi"/>
                <w:b/>
              </w:rPr>
            </w:pPr>
            <w:r>
              <w:rPr>
                <w:rFonts w:asciiTheme="majorHAnsi" w:hAnsiTheme="majorHAnsi"/>
                <w:b/>
              </w:rPr>
              <w:t>8</w:t>
            </w:r>
          </w:p>
          <w:p w14:paraId="15966CAE" w14:textId="77777777" w:rsidR="004655F8" w:rsidRDefault="004655F8" w:rsidP="00A00E84">
            <w:pPr>
              <w:rPr>
                <w:rFonts w:asciiTheme="majorHAnsi" w:hAnsiTheme="majorHAnsi"/>
                <w:b/>
              </w:rPr>
            </w:pPr>
          </w:p>
          <w:p w14:paraId="025D9B17" w14:textId="23F307B2" w:rsidR="004655F8" w:rsidRPr="005F4791" w:rsidRDefault="004655F8" w:rsidP="00A00E84">
            <w:pPr>
              <w:rPr>
                <w:rFonts w:asciiTheme="majorHAnsi" w:hAnsiTheme="majorHAnsi"/>
                <w:b/>
              </w:rPr>
            </w:pPr>
            <w:r>
              <w:rPr>
                <w:rFonts w:asciiTheme="majorHAnsi" w:hAnsiTheme="majorHAnsi"/>
                <w:b/>
              </w:rPr>
              <w:t xml:space="preserve">Oct. </w:t>
            </w:r>
            <w:r w:rsidR="003D317C">
              <w:rPr>
                <w:rFonts w:asciiTheme="majorHAnsi" w:hAnsiTheme="majorHAnsi"/>
                <w:b/>
              </w:rPr>
              <w:t>23</w:t>
            </w:r>
          </w:p>
        </w:tc>
        <w:tc>
          <w:tcPr>
            <w:tcW w:w="8579" w:type="dxa"/>
          </w:tcPr>
          <w:p w14:paraId="18F07078" w14:textId="149CFDC7" w:rsidR="004655F8" w:rsidRDefault="00AE73C0" w:rsidP="00A00E84">
            <w:pPr>
              <w:rPr>
                <w:rFonts w:asciiTheme="majorHAnsi" w:hAnsiTheme="majorHAnsi"/>
                <w:b/>
              </w:rPr>
            </w:pPr>
            <w:r>
              <w:rPr>
                <w:rFonts w:asciiTheme="majorHAnsi" w:hAnsiTheme="majorHAnsi"/>
                <w:b/>
              </w:rPr>
              <w:t>Organizational learning</w:t>
            </w:r>
            <w:r w:rsidR="000D21D2">
              <w:rPr>
                <w:rFonts w:asciiTheme="majorHAnsi" w:hAnsiTheme="majorHAnsi"/>
                <w:b/>
              </w:rPr>
              <w:t xml:space="preserve"> / Learning Orgs</w:t>
            </w:r>
          </w:p>
          <w:p w14:paraId="271450EA" w14:textId="77777777" w:rsidR="00BD53C5" w:rsidRPr="00A00E84" w:rsidRDefault="00BD53C5" w:rsidP="00BD53C5">
            <w:pPr>
              <w:rPr>
                <w:rFonts w:asciiTheme="majorHAnsi" w:hAnsiTheme="majorHAnsi" w:cstheme="majorHAnsi"/>
              </w:rPr>
            </w:pPr>
            <w:r w:rsidRPr="00A00E84">
              <w:rPr>
                <w:rFonts w:asciiTheme="majorHAnsi" w:hAnsiTheme="majorHAnsi" w:cstheme="majorHAnsi"/>
              </w:rPr>
              <w:t xml:space="preserve">Argyris, C. (1977). Double loop learning in organizations. </w:t>
            </w:r>
            <w:r w:rsidRPr="00A00E84">
              <w:rPr>
                <w:rFonts w:asciiTheme="majorHAnsi" w:hAnsiTheme="majorHAnsi" w:cstheme="majorHAnsi"/>
                <w:i/>
                <w:iCs/>
              </w:rPr>
              <w:t>Harvard business review</w:t>
            </w:r>
            <w:r w:rsidRPr="00A00E84">
              <w:rPr>
                <w:rFonts w:asciiTheme="majorHAnsi" w:hAnsiTheme="majorHAnsi" w:cstheme="majorHAnsi"/>
              </w:rPr>
              <w:t xml:space="preserve">, </w:t>
            </w:r>
            <w:r w:rsidRPr="00A00E84">
              <w:rPr>
                <w:rFonts w:asciiTheme="majorHAnsi" w:hAnsiTheme="majorHAnsi" w:cstheme="majorHAnsi"/>
                <w:i/>
                <w:iCs/>
              </w:rPr>
              <w:t>55</w:t>
            </w:r>
            <w:r w:rsidRPr="00A00E84">
              <w:rPr>
                <w:rFonts w:asciiTheme="majorHAnsi" w:hAnsiTheme="majorHAnsi" w:cstheme="majorHAnsi"/>
              </w:rPr>
              <w:t>(5), 115-125.</w:t>
            </w:r>
          </w:p>
          <w:p w14:paraId="079AAEFC" w14:textId="77777777" w:rsidR="00BD53C5" w:rsidRPr="00240E18" w:rsidRDefault="00BD53C5" w:rsidP="00240E18">
            <w:pPr>
              <w:rPr>
                <w:rFonts w:asciiTheme="majorHAnsi" w:hAnsiTheme="majorHAnsi" w:cstheme="majorHAnsi"/>
              </w:rPr>
            </w:pPr>
          </w:p>
          <w:p w14:paraId="191A1C4C" w14:textId="6292C590" w:rsidR="004E5269" w:rsidRDefault="004E5269" w:rsidP="004E5269">
            <w:pPr>
              <w:rPr>
                <w:rFonts w:asciiTheme="majorHAnsi" w:hAnsiTheme="majorHAnsi" w:cstheme="majorHAnsi"/>
                <w:color w:val="222222"/>
                <w:shd w:val="clear" w:color="auto" w:fill="FFFFFF"/>
              </w:rPr>
            </w:pPr>
            <w:proofErr w:type="spellStart"/>
            <w:r w:rsidRPr="004E5269">
              <w:rPr>
                <w:rFonts w:asciiTheme="majorHAnsi" w:hAnsiTheme="majorHAnsi" w:cstheme="majorHAnsi"/>
                <w:color w:val="222222"/>
                <w:shd w:val="clear" w:color="auto" w:fill="FFFFFF"/>
              </w:rPr>
              <w:t>Stringfield</w:t>
            </w:r>
            <w:proofErr w:type="spellEnd"/>
            <w:r w:rsidRPr="004E5269">
              <w:rPr>
                <w:rFonts w:asciiTheme="majorHAnsi" w:hAnsiTheme="majorHAnsi" w:cstheme="majorHAnsi"/>
                <w:color w:val="222222"/>
                <w:shd w:val="clear" w:color="auto" w:fill="FFFFFF"/>
              </w:rPr>
              <w:t>, S. (1998). Organizational learning and current reform efforts: From exploitation to exploration. </w:t>
            </w:r>
            <w:proofErr w:type="spellStart"/>
            <w:r w:rsidRPr="004E5269">
              <w:rPr>
                <w:rFonts w:asciiTheme="majorHAnsi" w:hAnsiTheme="majorHAnsi" w:cstheme="majorHAnsi"/>
                <w:i/>
                <w:iCs/>
                <w:color w:val="222222"/>
                <w:shd w:val="clear" w:color="auto" w:fill="FFFFFF"/>
              </w:rPr>
              <w:t>Organisational</w:t>
            </w:r>
            <w:proofErr w:type="spellEnd"/>
            <w:r w:rsidRPr="004E5269">
              <w:rPr>
                <w:rFonts w:asciiTheme="majorHAnsi" w:hAnsiTheme="majorHAnsi" w:cstheme="majorHAnsi"/>
                <w:i/>
                <w:iCs/>
                <w:color w:val="222222"/>
                <w:shd w:val="clear" w:color="auto" w:fill="FFFFFF"/>
              </w:rPr>
              <w:t xml:space="preserve"> learning in schools</w:t>
            </w:r>
            <w:r w:rsidRPr="004E5269">
              <w:rPr>
                <w:rFonts w:asciiTheme="majorHAnsi" w:hAnsiTheme="majorHAnsi" w:cstheme="majorHAnsi"/>
                <w:color w:val="222222"/>
                <w:shd w:val="clear" w:color="auto" w:fill="FFFFFF"/>
              </w:rPr>
              <w:t>, 261-274.</w:t>
            </w:r>
          </w:p>
          <w:p w14:paraId="7D9D5B3E" w14:textId="77777777" w:rsidR="00B565D1" w:rsidRPr="003C2D7E" w:rsidRDefault="00B565D1" w:rsidP="00B565D1">
            <w:pPr>
              <w:rPr>
                <w:rFonts w:asciiTheme="majorHAnsi" w:hAnsiTheme="majorHAnsi" w:cstheme="majorHAnsi"/>
              </w:rPr>
            </w:pPr>
          </w:p>
          <w:p w14:paraId="18C24FC3" w14:textId="77777777" w:rsidR="00B565D1" w:rsidRPr="003C2D7E" w:rsidRDefault="00B565D1" w:rsidP="00B565D1">
            <w:pPr>
              <w:rPr>
                <w:rFonts w:asciiTheme="majorHAnsi" w:hAnsiTheme="majorHAnsi" w:cstheme="majorHAnsi"/>
              </w:rPr>
            </w:pPr>
            <w:proofErr w:type="spellStart"/>
            <w:r w:rsidRPr="003C2D7E">
              <w:rPr>
                <w:rFonts w:asciiTheme="majorHAnsi" w:hAnsiTheme="majorHAnsi" w:cstheme="majorHAnsi"/>
                <w:color w:val="222222"/>
                <w:shd w:val="clear" w:color="auto" w:fill="FFFFFF"/>
              </w:rPr>
              <w:t>Bensimon</w:t>
            </w:r>
            <w:proofErr w:type="spellEnd"/>
            <w:r w:rsidRPr="003C2D7E">
              <w:rPr>
                <w:rFonts w:asciiTheme="majorHAnsi" w:hAnsiTheme="majorHAnsi" w:cstheme="majorHAnsi"/>
                <w:color w:val="222222"/>
                <w:shd w:val="clear" w:color="auto" w:fill="FFFFFF"/>
              </w:rPr>
              <w:t>, E. M. (2005). Closing the achievement gap in higher education: An organizational learning perspective. </w:t>
            </w:r>
            <w:r w:rsidRPr="003C2D7E">
              <w:rPr>
                <w:rFonts w:asciiTheme="majorHAnsi" w:hAnsiTheme="majorHAnsi" w:cstheme="majorHAnsi"/>
                <w:i/>
                <w:iCs/>
                <w:color w:val="222222"/>
                <w:shd w:val="clear" w:color="auto" w:fill="FFFFFF"/>
              </w:rPr>
              <w:t xml:space="preserve">New </w:t>
            </w:r>
            <w:r>
              <w:rPr>
                <w:rFonts w:asciiTheme="majorHAnsi" w:hAnsiTheme="majorHAnsi" w:cstheme="majorHAnsi"/>
                <w:i/>
                <w:iCs/>
                <w:color w:val="222222"/>
                <w:shd w:val="clear" w:color="auto" w:fill="FFFFFF"/>
              </w:rPr>
              <w:t>D</w:t>
            </w:r>
            <w:r w:rsidRPr="003C2D7E">
              <w:rPr>
                <w:rFonts w:asciiTheme="majorHAnsi" w:hAnsiTheme="majorHAnsi" w:cstheme="majorHAnsi"/>
                <w:i/>
                <w:iCs/>
                <w:color w:val="222222"/>
                <w:shd w:val="clear" w:color="auto" w:fill="FFFFFF"/>
              </w:rPr>
              <w:t xml:space="preserve">irections for </w:t>
            </w:r>
            <w:r>
              <w:rPr>
                <w:rFonts w:asciiTheme="majorHAnsi" w:hAnsiTheme="majorHAnsi" w:cstheme="majorHAnsi"/>
                <w:i/>
                <w:iCs/>
                <w:color w:val="222222"/>
                <w:shd w:val="clear" w:color="auto" w:fill="FFFFFF"/>
              </w:rPr>
              <w:t>H</w:t>
            </w:r>
            <w:r w:rsidRPr="003C2D7E">
              <w:rPr>
                <w:rFonts w:asciiTheme="majorHAnsi" w:hAnsiTheme="majorHAnsi" w:cstheme="majorHAnsi"/>
                <w:i/>
                <w:iCs/>
                <w:color w:val="222222"/>
                <w:shd w:val="clear" w:color="auto" w:fill="FFFFFF"/>
              </w:rPr>
              <w:t xml:space="preserve">igher </w:t>
            </w:r>
            <w:r>
              <w:rPr>
                <w:rFonts w:asciiTheme="majorHAnsi" w:hAnsiTheme="majorHAnsi" w:cstheme="majorHAnsi"/>
                <w:i/>
                <w:iCs/>
                <w:color w:val="222222"/>
                <w:shd w:val="clear" w:color="auto" w:fill="FFFFFF"/>
              </w:rPr>
              <w:t>E</w:t>
            </w:r>
            <w:r w:rsidRPr="003C2D7E">
              <w:rPr>
                <w:rFonts w:asciiTheme="majorHAnsi" w:hAnsiTheme="majorHAnsi" w:cstheme="majorHAnsi"/>
                <w:i/>
                <w:iCs/>
                <w:color w:val="222222"/>
                <w:shd w:val="clear" w:color="auto" w:fill="FFFFFF"/>
              </w:rPr>
              <w:t>ducation</w:t>
            </w:r>
            <w:r w:rsidRPr="003C2D7E">
              <w:rPr>
                <w:rFonts w:asciiTheme="majorHAnsi" w:hAnsiTheme="majorHAnsi" w:cstheme="majorHAnsi"/>
                <w:color w:val="222222"/>
                <w:shd w:val="clear" w:color="auto" w:fill="FFFFFF"/>
              </w:rPr>
              <w:t>, </w:t>
            </w:r>
            <w:r w:rsidRPr="003C2D7E">
              <w:rPr>
                <w:rFonts w:asciiTheme="majorHAnsi" w:hAnsiTheme="majorHAnsi" w:cstheme="majorHAnsi"/>
                <w:i/>
                <w:iCs/>
                <w:color w:val="222222"/>
                <w:shd w:val="clear" w:color="auto" w:fill="FFFFFF"/>
              </w:rPr>
              <w:t>2005</w:t>
            </w:r>
            <w:r w:rsidRPr="003C2D7E">
              <w:rPr>
                <w:rFonts w:asciiTheme="majorHAnsi" w:hAnsiTheme="majorHAnsi" w:cstheme="majorHAnsi"/>
                <w:color w:val="222222"/>
                <w:shd w:val="clear" w:color="auto" w:fill="FFFFFF"/>
              </w:rPr>
              <w:t>(131), 99-111.</w:t>
            </w:r>
          </w:p>
          <w:p w14:paraId="7A477531" w14:textId="77777777" w:rsidR="00B565D1" w:rsidRPr="003C2D7E" w:rsidRDefault="00B565D1" w:rsidP="00B565D1">
            <w:pPr>
              <w:rPr>
                <w:rFonts w:asciiTheme="majorHAnsi" w:hAnsiTheme="majorHAnsi" w:cstheme="majorHAnsi"/>
              </w:rPr>
            </w:pPr>
          </w:p>
          <w:p w14:paraId="2267E19F" w14:textId="77777777" w:rsidR="00B565D1" w:rsidRPr="003C2D7E" w:rsidRDefault="00B565D1" w:rsidP="00B565D1">
            <w:pPr>
              <w:rPr>
                <w:rFonts w:asciiTheme="majorHAnsi" w:hAnsiTheme="majorHAnsi" w:cstheme="majorHAnsi"/>
              </w:rPr>
            </w:pPr>
            <w:r w:rsidRPr="003C2D7E">
              <w:rPr>
                <w:rFonts w:asciiTheme="majorHAnsi" w:hAnsiTheme="majorHAnsi" w:cstheme="majorHAnsi"/>
                <w:color w:val="222222"/>
                <w:shd w:val="clear" w:color="auto" w:fill="FFFFFF"/>
              </w:rPr>
              <w:t xml:space="preserve">Park, S., </w:t>
            </w:r>
            <w:proofErr w:type="spellStart"/>
            <w:r w:rsidRPr="003C2D7E">
              <w:rPr>
                <w:rFonts w:asciiTheme="majorHAnsi" w:hAnsiTheme="majorHAnsi" w:cstheme="majorHAnsi"/>
                <w:color w:val="222222"/>
                <w:shd w:val="clear" w:color="auto" w:fill="FFFFFF"/>
              </w:rPr>
              <w:t>Hironaka</w:t>
            </w:r>
            <w:proofErr w:type="spellEnd"/>
            <w:r w:rsidRPr="003C2D7E">
              <w:rPr>
                <w:rFonts w:asciiTheme="majorHAnsi" w:hAnsiTheme="majorHAnsi" w:cstheme="majorHAnsi"/>
                <w:color w:val="222222"/>
                <w:shd w:val="clear" w:color="auto" w:fill="FFFFFF"/>
              </w:rPr>
              <w:t xml:space="preserve">, S., Carver, P., &amp; </w:t>
            </w:r>
            <w:proofErr w:type="spellStart"/>
            <w:r w:rsidRPr="003C2D7E">
              <w:rPr>
                <w:rFonts w:asciiTheme="majorHAnsi" w:hAnsiTheme="majorHAnsi" w:cstheme="majorHAnsi"/>
                <w:color w:val="222222"/>
                <w:shd w:val="clear" w:color="auto" w:fill="FFFFFF"/>
              </w:rPr>
              <w:t>Nordstrum</w:t>
            </w:r>
            <w:proofErr w:type="spellEnd"/>
            <w:r w:rsidRPr="003C2D7E">
              <w:rPr>
                <w:rFonts w:asciiTheme="majorHAnsi" w:hAnsiTheme="majorHAnsi" w:cstheme="majorHAnsi"/>
                <w:color w:val="222222"/>
                <w:shd w:val="clear" w:color="auto" w:fill="FFFFFF"/>
              </w:rPr>
              <w:t xml:space="preserve">, L. (2013). Continuous improvement in education. Palo Alto, CA: </w:t>
            </w:r>
            <w:r w:rsidRPr="003C2D7E">
              <w:rPr>
                <w:rFonts w:asciiTheme="majorHAnsi" w:hAnsiTheme="majorHAnsi" w:cstheme="majorHAnsi"/>
                <w:i/>
                <w:iCs/>
                <w:color w:val="222222"/>
                <w:shd w:val="clear" w:color="auto" w:fill="FFFFFF"/>
              </w:rPr>
              <w:t>Carnegie Foundation for the Advancement of Teaching</w:t>
            </w:r>
            <w:r w:rsidRPr="003C2D7E">
              <w:rPr>
                <w:rFonts w:asciiTheme="majorHAnsi" w:hAnsiTheme="majorHAnsi" w:cstheme="majorHAnsi"/>
                <w:color w:val="222222"/>
                <w:shd w:val="clear" w:color="auto" w:fill="FFFFFF"/>
              </w:rPr>
              <w:t>.</w:t>
            </w:r>
          </w:p>
          <w:p w14:paraId="535D4710" w14:textId="77777777" w:rsidR="00B565D1" w:rsidRDefault="00B565D1" w:rsidP="004E5269">
            <w:pPr>
              <w:rPr>
                <w:rFonts w:asciiTheme="majorHAnsi" w:hAnsiTheme="majorHAnsi" w:cstheme="majorHAnsi"/>
                <w:color w:val="222222"/>
                <w:shd w:val="clear" w:color="auto" w:fill="FFFFFF"/>
              </w:rPr>
            </w:pPr>
          </w:p>
          <w:p w14:paraId="5C136FE2" w14:textId="68D39C25" w:rsidR="004655F8" w:rsidRPr="00404803" w:rsidRDefault="004655F8" w:rsidP="00B565D1">
            <w:pPr>
              <w:rPr>
                <w:rFonts w:asciiTheme="majorHAnsi" w:hAnsiTheme="majorHAnsi"/>
                <w:b/>
              </w:rPr>
            </w:pPr>
          </w:p>
        </w:tc>
      </w:tr>
      <w:tr w:rsidR="00AE73C0" w:rsidRPr="005F4791" w14:paraId="2BD5C073" w14:textId="77777777" w:rsidTr="00A00E84">
        <w:trPr>
          <w:cantSplit/>
        </w:trPr>
        <w:tc>
          <w:tcPr>
            <w:tcW w:w="771" w:type="dxa"/>
          </w:tcPr>
          <w:p w14:paraId="1C2EA124" w14:textId="6085A7CB" w:rsidR="00AE73C0" w:rsidRDefault="003D317C" w:rsidP="00A00E84">
            <w:pPr>
              <w:rPr>
                <w:rFonts w:asciiTheme="majorHAnsi" w:hAnsiTheme="majorHAnsi"/>
                <w:b/>
              </w:rPr>
            </w:pPr>
            <w:r>
              <w:rPr>
                <w:rFonts w:asciiTheme="majorHAnsi" w:hAnsiTheme="majorHAnsi"/>
                <w:b/>
              </w:rPr>
              <w:lastRenderedPageBreak/>
              <w:t>9</w:t>
            </w:r>
          </w:p>
          <w:p w14:paraId="43E8AAAF" w14:textId="77777777" w:rsidR="00AE73C0" w:rsidRDefault="00AE73C0" w:rsidP="00A00E84">
            <w:pPr>
              <w:rPr>
                <w:rFonts w:asciiTheme="majorHAnsi" w:hAnsiTheme="majorHAnsi"/>
                <w:b/>
              </w:rPr>
            </w:pPr>
          </w:p>
          <w:p w14:paraId="4FE8D5CA" w14:textId="71FFDEC7" w:rsidR="00AE73C0" w:rsidRPr="005F4791" w:rsidRDefault="00AE73C0" w:rsidP="00A00E84">
            <w:pPr>
              <w:rPr>
                <w:rFonts w:asciiTheme="majorHAnsi" w:hAnsiTheme="majorHAnsi"/>
                <w:b/>
              </w:rPr>
            </w:pPr>
            <w:r>
              <w:rPr>
                <w:rFonts w:asciiTheme="majorHAnsi" w:hAnsiTheme="majorHAnsi"/>
                <w:b/>
              </w:rPr>
              <w:t xml:space="preserve">Oct. </w:t>
            </w:r>
            <w:r w:rsidR="003D317C">
              <w:rPr>
                <w:rFonts w:asciiTheme="majorHAnsi" w:hAnsiTheme="majorHAnsi"/>
                <w:b/>
              </w:rPr>
              <w:t>30</w:t>
            </w:r>
          </w:p>
        </w:tc>
        <w:tc>
          <w:tcPr>
            <w:tcW w:w="8579" w:type="dxa"/>
          </w:tcPr>
          <w:p w14:paraId="29FF23FC" w14:textId="77777777" w:rsidR="00B565D1" w:rsidRDefault="00B565D1" w:rsidP="00B565D1">
            <w:pPr>
              <w:rPr>
                <w:rFonts w:asciiTheme="majorHAnsi" w:hAnsiTheme="majorHAnsi"/>
                <w:b/>
              </w:rPr>
            </w:pPr>
            <w:r>
              <w:rPr>
                <w:rFonts w:asciiTheme="majorHAnsi" w:hAnsiTheme="majorHAnsi"/>
                <w:b/>
              </w:rPr>
              <w:t>Institutional theory</w:t>
            </w:r>
          </w:p>
          <w:p w14:paraId="3C145057" w14:textId="77777777" w:rsidR="00B565D1" w:rsidRPr="003D591F" w:rsidRDefault="00B565D1" w:rsidP="00B565D1">
            <w:pPr>
              <w:rPr>
                <w:rFonts w:asciiTheme="majorHAnsi" w:hAnsiTheme="majorHAnsi" w:cstheme="majorHAnsi"/>
              </w:rPr>
            </w:pPr>
            <w:r w:rsidRPr="003D591F">
              <w:rPr>
                <w:rFonts w:asciiTheme="majorHAnsi" w:hAnsiTheme="majorHAnsi" w:cstheme="majorHAnsi"/>
              </w:rPr>
              <w:t xml:space="preserve">Scott &amp; Davis, Ch. 4 (pages 87-98) &amp; 9 (pages 233-244) </w:t>
            </w:r>
          </w:p>
          <w:p w14:paraId="725AF29E" w14:textId="77777777" w:rsidR="00B565D1" w:rsidRPr="003D591F" w:rsidRDefault="00B565D1" w:rsidP="00B565D1">
            <w:pPr>
              <w:rPr>
                <w:rFonts w:asciiTheme="majorHAnsi" w:hAnsiTheme="majorHAnsi" w:cstheme="majorHAnsi"/>
                <w:b/>
              </w:rPr>
            </w:pPr>
          </w:p>
          <w:p w14:paraId="261A8F83" w14:textId="77777777" w:rsidR="00B565D1" w:rsidRPr="003D591F" w:rsidRDefault="00B565D1" w:rsidP="00B565D1">
            <w:pPr>
              <w:rPr>
                <w:rFonts w:asciiTheme="majorHAnsi" w:hAnsiTheme="majorHAnsi" w:cstheme="majorHAnsi"/>
              </w:rPr>
            </w:pPr>
            <w:r w:rsidRPr="003D591F">
              <w:rPr>
                <w:rFonts w:asciiTheme="majorHAnsi" w:hAnsiTheme="majorHAnsi" w:cstheme="majorHAnsi"/>
                <w:color w:val="222222"/>
                <w:shd w:val="clear" w:color="auto" w:fill="FFFFFF"/>
              </w:rPr>
              <w:t>Burch, P. (2007). Educational policy and practice from the perspective of institutional theory: Crafting a wider lens. </w:t>
            </w:r>
            <w:r w:rsidRPr="003D591F">
              <w:rPr>
                <w:rFonts w:asciiTheme="majorHAnsi" w:hAnsiTheme="majorHAnsi" w:cstheme="majorHAnsi"/>
                <w:i/>
                <w:iCs/>
                <w:color w:val="222222"/>
                <w:shd w:val="clear" w:color="auto" w:fill="FFFFFF"/>
              </w:rPr>
              <w:t>Educational Researcher</w:t>
            </w:r>
            <w:r w:rsidRPr="003D591F">
              <w:rPr>
                <w:rFonts w:asciiTheme="majorHAnsi" w:hAnsiTheme="majorHAnsi" w:cstheme="majorHAnsi"/>
                <w:color w:val="222222"/>
                <w:shd w:val="clear" w:color="auto" w:fill="FFFFFF"/>
              </w:rPr>
              <w:t>, </w:t>
            </w:r>
            <w:r w:rsidRPr="003D591F">
              <w:rPr>
                <w:rFonts w:asciiTheme="majorHAnsi" w:hAnsiTheme="majorHAnsi" w:cstheme="majorHAnsi"/>
                <w:i/>
                <w:iCs/>
                <w:color w:val="222222"/>
                <w:shd w:val="clear" w:color="auto" w:fill="FFFFFF"/>
              </w:rPr>
              <w:t>36</w:t>
            </w:r>
            <w:r w:rsidRPr="003D591F">
              <w:rPr>
                <w:rFonts w:asciiTheme="majorHAnsi" w:hAnsiTheme="majorHAnsi" w:cstheme="majorHAnsi"/>
                <w:color w:val="222222"/>
                <w:shd w:val="clear" w:color="auto" w:fill="FFFFFF"/>
              </w:rPr>
              <w:t>(2), 84-95.</w:t>
            </w:r>
          </w:p>
          <w:p w14:paraId="64004EA8" w14:textId="77777777" w:rsidR="00B565D1" w:rsidRPr="003D591F" w:rsidRDefault="00B565D1" w:rsidP="00B565D1">
            <w:pPr>
              <w:rPr>
                <w:rFonts w:asciiTheme="majorHAnsi" w:hAnsiTheme="majorHAnsi" w:cstheme="majorHAnsi"/>
              </w:rPr>
            </w:pPr>
          </w:p>
          <w:p w14:paraId="7AD67A77" w14:textId="77777777" w:rsidR="00B565D1" w:rsidRPr="003D591F" w:rsidRDefault="00B565D1" w:rsidP="00B565D1">
            <w:pPr>
              <w:rPr>
                <w:rFonts w:asciiTheme="majorHAnsi" w:hAnsiTheme="majorHAnsi" w:cstheme="majorHAnsi"/>
              </w:rPr>
            </w:pPr>
            <w:r w:rsidRPr="003D591F">
              <w:rPr>
                <w:rFonts w:asciiTheme="majorHAnsi" w:hAnsiTheme="majorHAnsi" w:cstheme="majorHAnsi"/>
                <w:color w:val="222222"/>
                <w:shd w:val="clear" w:color="auto" w:fill="FFFFFF"/>
              </w:rPr>
              <w:t>Hopkins, M., &amp; Spillane, J. P. (2015). Conceptualizing relations between instructional guidance infrastructure (IGI) and teachers’ beliefs about mathematics instruction: Regulative, normative, and cultural-cognitive considerations. </w:t>
            </w:r>
            <w:r w:rsidRPr="003D591F">
              <w:rPr>
                <w:rFonts w:asciiTheme="majorHAnsi" w:hAnsiTheme="majorHAnsi" w:cstheme="majorHAnsi"/>
                <w:i/>
                <w:iCs/>
                <w:color w:val="222222"/>
                <w:shd w:val="clear" w:color="auto" w:fill="FFFFFF"/>
              </w:rPr>
              <w:t xml:space="preserve">Journal of </w:t>
            </w:r>
            <w:r>
              <w:rPr>
                <w:rFonts w:asciiTheme="majorHAnsi" w:hAnsiTheme="majorHAnsi" w:cstheme="majorHAnsi"/>
                <w:i/>
                <w:iCs/>
                <w:color w:val="222222"/>
                <w:shd w:val="clear" w:color="auto" w:fill="FFFFFF"/>
              </w:rPr>
              <w:t>E</w:t>
            </w:r>
            <w:r w:rsidRPr="003D591F">
              <w:rPr>
                <w:rFonts w:asciiTheme="majorHAnsi" w:hAnsiTheme="majorHAnsi" w:cstheme="majorHAnsi"/>
                <w:i/>
                <w:iCs/>
                <w:color w:val="222222"/>
                <w:shd w:val="clear" w:color="auto" w:fill="FFFFFF"/>
              </w:rPr>
              <w:t xml:space="preserve">ducational </w:t>
            </w:r>
            <w:r>
              <w:rPr>
                <w:rFonts w:asciiTheme="majorHAnsi" w:hAnsiTheme="majorHAnsi" w:cstheme="majorHAnsi"/>
                <w:i/>
                <w:iCs/>
                <w:color w:val="222222"/>
                <w:shd w:val="clear" w:color="auto" w:fill="FFFFFF"/>
              </w:rPr>
              <w:t>C</w:t>
            </w:r>
            <w:r w:rsidRPr="003D591F">
              <w:rPr>
                <w:rFonts w:asciiTheme="majorHAnsi" w:hAnsiTheme="majorHAnsi" w:cstheme="majorHAnsi"/>
                <w:i/>
                <w:iCs/>
                <w:color w:val="222222"/>
                <w:shd w:val="clear" w:color="auto" w:fill="FFFFFF"/>
              </w:rPr>
              <w:t>hange</w:t>
            </w:r>
            <w:r w:rsidRPr="003D591F">
              <w:rPr>
                <w:rFonts w:asciiTheme="majorHAnsi" w:hAnsiTheme="majorHAnsi" w:cstheme="majorHAnsi"/>
                <w:color w:val="222222"/>
                <w:shd w:val="clear" w:color="auto" w:fill="FFFFFF"/>
              </w:rPr>
              <w:t>, </w:t>
            </w:r>
            <w:r w:rsidRPr="003D591F">
              <w:rPr>
                <w:rFonts w:asciiTheme="majorHAnsi" w:hAnsiTheme="majorHAnsi" w:cstheme="majorHAnsi"/>
                <w:i/>
                <w:iCs/>
                <w:color w:val="222222"/>
                <w:shd w:val="clear" w:color="auto" w:fill="FFFFFF"/>
              </w:rPr>
              <w:t>16</w:t>
            </w:r>
            <w:r w:rsidRPr="003D591F">
              <w:rPr>
                <w:rFonts w:asciiTheme="majorHAnsi" w:hAnsiTheme="majorHAnsi" w:cstheme="majorHAnsi"/>
                <w:color w:val="222222"/>
                <w:shd w:val="clear" w:color="auto" w:fill="FFFFFF"/>
              </w:rPr>
              <w:t>(4), 421-450.</w:t>
            </w:r>
          </w:p>
          <w:p w14:paraId="6B8015EB" w14:textId="74CEFFF1" w:rsidR="00240E18" w:rsidRPr="00240E18" w:rsidRDefault="00240E18" w:rsidP="00B565D1"/>
        </w:tc>
      </w:tr>
      <w:tr w:rsidR="004655F8" w:rsidRPr="004655F8" w14:paraId="3463CA3C" w14:textId="77777777" w:rsidTr="00A00E84">
        <w:trPr>
          <w:cantSplit/>
          <w:trHeight w:val="377"/>
        </w:trPr>
        <w:tc>
          <w:tcPr>
            <w:tcW w:w="9350" w:type="dxa"/>
            <w:gridSpan w:val="2"/>
          </w:tcPr>
          <w:p w14:paraId="25F49E25" w14:textId="38EA6C73" w:rsidR="004655F8" w:rsidRPr="004655F8" w:rsidRDefault="004655F8" w:rsidP="00A00E84">
            <w:pPr>
              <w:rPr>
                <w:rFonts w:asciiTheme="majorHAnsi" w:hAnsiTheme="majorHAnsi"/>
                <w:b/>
              </w:rPr>
            </w:pPr>
            <w:r w:rsidRPr="004655F8">
              <w:rPr>
                <w:rFonts w:asciiTheme="majorHAnsi" w:hAnsiTheme="majorHAnsi"/>
                <w:b/>
              </w:rPr>
              <w:t xml:space="preserve">Segment </w:t>
            </w:r>
            <w:r>
              <w:rPr>
                <w:rFonts w:asciiTheme="majorHAnsi" w:hAnsiTheme="majorHAnsi"/>
                <w:b/>
              </w:rPr>
              <w:t>3</w:t>
            </w:r>
            <w:r w:rsidRPr="004655F8">
              <w:rPr>
                <w:rFonts w:asciiTheme="majorHAnsi" w:hAnsiTheme="majorHAnsi"/>
                <w:b/>
              </w:rPr>
              <w:t xml:space="preserve">: </w:t>
            </w:r>
            <w:r>
              <w:rPr>
                <w:rFonts w:asciiTheme="majorHAnsi" w:hAnsiTheme="majorHAnsi"/>
                <w:b/>
              </w:rPr>
              <w:t>Organizations and environments</w:t>
            </w:r>
          </w:p>
        </w:tc>
      </w:tr>
      <w:tr w:rsidR="004655F8" w:rsidRPr="005F4791" w14:paraId="111C113F" w14:textId="77777777" w:rsidTr="004655F8">
        <w:trPr>
          <w:cantSplit/>
        </w:trPr>
        <w:tc>
          <w:tcPr>
            <w:tcW w:w="771" w:type="dxa"/>
          </w:tcPr>
          <w:p w14:paraId="7BC0FF1F" w14:textId="2C9254BF" w:rsidR="004655F8" w:rsidRDefault="003D317C" w:rsidP="00A00E84">
            <w:pPr>
              <w:rPr>
                <w:rFonts w:asciiTheme="majorHAnsi" w:hAnsiTheme="majorHAnsi"/>
                <w:b/>
              </w:rPr>
            </w:pPr>
            <w:r>
              <w:rPr>
                <w:rFonts w:asciiTheme="majorHAnsi" w:hAnsiTheme="majorHAnsi"/>
                <w:b/>
              </w:rPr>
              <w:t>10</w:t>
            </w:r>
          </w:p>
          <w:p w14:paraId="2CAC402C" w14:textId="77777777" w:rsidR="003D317C" w:rsidRDefault="003D317C" w:rsidP="00A00E84">
            <w:pPr>
              <w:rPr>
                <w:rFonts w:asciiTheme="majorHAnsi" w:hAnsiTheme="majorHAnsi"/>
                <w:b/>
              </w:rPr>
            </w:pPr>
          </w:p>
          <w:p w14:paraId="73521CA3" w14:textId="526F7E19" w:rsidR="004655F8" w:rsidRPr="005F4791" w:rsidRDefault="003D317C" w:rsidP="00A00E84">
            <w:pPr>
              <w:rPr>
                <w:rFonts w:asciiTheme="majorHAnsi" w:hAnsiTheme="majorHAnsi"/>
                <w:b/>
              </w:rPr>
            </w:pPr>
            <w:r>
              <w:rPr>
                <w:rFonts w:asciiTheme="majorHAnsi" w:hAnsiTheme="majorHAnsi"/>
                <w:b/>
              </w:rPr>
              <w:t>Nov. 6</w:t>
            </w:r>
          </w:p>
        </w:tc>
        <w:tc>
          <w:tcPr>
            <w:tcW w:w="8579" w:type="dxa"/>
          </w:tcPr>
          <w:p w14:paraId="0CE5F17A" w14:textId="3D0DC184" w:rsidR="00B565D1" w:rsidRPr="00B565D1" w:rsidRDefault="00B565D1" w:rsidP="00B565D1">
            <w:pPr>
              <w:rPr>
                <w:rFonts w:asciiTheme="majorHAnsi" w:hAnsiTheme="majorHAnsi" w:cstheme="majorHAnsi"/>
              </w:rPr>
            </w:pPr>
            <w:r>
              <w:rPr>
                <w:rFonts w:asciiTheme="majorHAnsi" w:hAnsiTheme="majorHAnsi"/>
                <w:b/>
              </w:rPr>
              <w:t xml:space="preserve"> Organizational fields</w:t>
            </w:r>
          </w:p>
          <w:p w14:paraId="6C6D9708" w14:textId="77777777" w:rsidR="00B565D1" w:rsidRDefault="00B565D1" w:rsidP="00B565D1">
            <w:pPr>
              <w:autoSpaceDE w:val="0"/>
              <w:autoSpaceDN w:val="0"/>
              <w:adjustRightInd w:val="0"/>
              <w:rPr>
                <w:rFonts w:asciiTheme="majorHAnsi" w:hAnsiTheme="majorHAnsi"/>
              </w:rPr>
            </w:pPr>
            <w:r w:rsidRPr="005F4791">
              <w:rPr>
                <w:rFonts w:asciiTheme="majorHAnsi" w:hAnsiTheme="majorHAnsi"/>
              </w:rPr>
              <w:t xml:space="preserve">DiMaggio, P. J., &amp; Powell, W. W. (1983). The iron cage revisited: Institutional isomorphism and collective rationality in organizational fields. </w:t>
            </w:r>
            <w:r w:rsidRPr="005F4791">
              <w:rPr>
                <w:rFonts w:asciiTheme="majorHAnsi" w:hAnsiTheme="majorHAnsi"/>
                <w:i/>
                <w:iCs/>
              </w:rPr>
              <w:t xml:space="preserve">American </w:t>
            </w:r>
            <w:r>
              <w:rPr>
                <w:rFonts w:asciiTheme="majorHAnsi" w:hAnsiTheme="majorHAnsi"/>
                <w:i/>
                <w:iCs/>
              </w:rPr>
              <w:t>S</w:t>
            </w:r>
            <w:r w:rsidRPr="005F4791">
              <w:rPr>
                <w:rFonts w:asciiTheme="majorHAnsi" w:hAnsiTheme="majorHAnsi"/>
                <w:i/>
                <w:iCs/>
              </w:rPr>
              <w:t xml:space="preserve">ociological </w:t>
            </w:r>
            <w:r>
              <w:rPr>
                <w:rFonts w:asciiTheme="majorHAnsi" w:hAnsiTheme="majorHAnsi"/>
                <w:i/>
                <w:iCs/>
              </w:rPr>
              <w:t>R</w:t>
            </w:r>
            <w:r w:rsidRPr="005F4791">
              <w:rPr>
                <w:rFonts w:asciiTheme="majorHAnsi" w:hAnsiTheme="majorHAnsi"/>
                <w:i/>
                <w:iCs/>
              </w:rPr>
              <w:t>eview</w:t>
            </w:r>
            <w:r w:rsidRPr="005F4791">
              <w:rPr>
                <w:rFonts w:asciiTheme="majorHAnsi" w:hAnsiTheme="majorHAnsi"/>
              </w:rPr>
              <w:t>, 147-160.</w:t>
            </w:r>
            <w:r>
              <w:rPr>
                <w:rFonts w:asciiTheme="majorHAnsi" w:hAnsiTheme="majorHAnsi"/>
              </w:rPr>
              <w:t xml:space="preserve"> OPTIONAL</w:t>
            </w:r>
          </w:p>
          <w:p w14:paraId="4347F336" w14:textId="77777777" w:rsidR="00B565D1" w:rsidRDefault="00B565D1" w:rsidP="00B565D1">
            <w:pPr>
              <w:rPr>
                <w:rFonts w:asciiTheme="majorHAnsi" w:hAnsiTheme="majorHAnsi"/>
                <w:b/>
              </w:rPr>
            </w:pPr>
          </w:p>
          <w:p w14:paraId="3A4A2846" w14:textId="77777777" w:rsidR="00B565D1" w:rsidRPr="004655F8" w:rsidRDefault="00B565D1" w:rsidP="00B565D1">
            <w:pPr>
              <w:rPr>
                <w:rFonts w:asciiTheme="majorHAnsi" w:hAnsiTheme="majorHAnsi"/>
              </w:rPr>
            </w:pPr>
            <w:proofErr w:type="spellStart"/>
            <w:r w:rsidRPr="004655F8">
              <w:rPr>
                <w:rFonts w:asciiTheme="majorHAnsi" w:hAnsiTheme="majorHAnsi"/>
              </w:rPr>
              <w:t>Renzulli</w:t>
            </w:r>
            <w:proofErr w:type="spellEnd"/>
            <w:r w:rsidRPr="004655F8">
              <w:rPr>
                <w:rFonts w:asciiTheme="majorHAnsi" w:hAnsiTheme="majorHAnsi"/>
              </w:rPr>
              <w:t xml:space="preserve">, L. A., Barr, A. B., &amp; </w:t>
            </w:r>
            <w:proofErr w:type="spellStart"/>
            <w:r w:rsidRPr="004655F8">
              <w:rPr>
                <w:rFonts w:asciiTheme="majorHAnsi" w:hAnsiTheme="majorHAnsi"/>
              </w:rPr>
              <w:t>Paino</w:t>
            </w:r>
            <w:proofErr w:type="spellEnd"/>
            <w:r w:rsidRPr="004655F8">
              <w:rPr>
                <w:rFonts w:asciiTheme="majorHAnsi" w:hAnsiTheme="majorHAnsi"/>
              </w:rPr>
              <w:t xml:space="preserve">, M. (2014). Innovative education? A test of specialist mimicry or generalist assimilation in trends in charter school specialization over time. </w:t>
            </w:r>
            <w:r w:rsidRPr="004655F8">
              <w:rPr>
                <w:rFonts w:asciiTheme="majorHAnsi" w:hAnsiTheme="majorHAnsi"/>
                <w:i/>
                <w:iCs/>
              </w:rPr>
              <w:t>Sociology of Education</w:t>
            </w:r>
            <w:r>
              <w:rPr>
                <w:rFonts w:asciiTheme="majorHAnsi" w:hAnsiTheme="majorHAnsi"/>
              </w:rPr>
              <w:t xml:space="preserve">, </w:t>
            </w:r>
            <w:r w:rsidRPr="00912062">
              <w:rPr>
                <w:rFonts w:asciiTheme="majorHAnsi" w:hAnsiTheme="majorHAnsi"/>
                <w:i/>
              </w:rPr>
              <w:t>88</w:t>
            </w:r>
            <w:r>
              <w:rPr>
                <w:rFonts w:asciiTheme="majorHAnsi" w:hAnsiTheme="majorHAnsi"/>
              </w:rPr>
              <w:t>(1), 83-102</w:t>
            </w:r>
            <w:r w:rsidRPr="004655F8">
              <w:rPr>
                <w:rFonts w:asciiTheme="majorHAnsi" w:hAnsiTheme="majorHAnsi"/>
              </w:rPr>
              <w:t>.</w:t>
            </w:r>
          </w:p>
          <w:p w14:paraId="49F7CE1C" w14:textId="77777777" w:rsidR="00B565D1" w:rsidRDefault="00B565D1" w:rsidP="00B565D1">
            <w:pPr>
              <w:rPr>
                <w:rFonts w:asciiTheme="majorHAnsi" w:hAnsiTheme="majorHAnsi"/>
                <w:b/>
              </w:rPr>
            </w:pPr>
          </w:p>
          <w:p w14:paraId="42AAE95B" w14:textId="77777777" w:rsidR="00B565D1" w:rsidRPr="005B5260" w:rsidRDefault="00B565D1" w:rsidP="00B565D1">
            <w:pPr>
              <w:rPr>
                <w:rFonts w:asciiTheme="majorHAnsi" w:hAnsiTheme="majorHAnsi" w:cstheme="majorHAnsi"/>
              </w:rPr>
            </w:pPr>
            <w:r w:rsidRPr="005B5260">
              <w:rPr>
                <w:rFonts w:asciiTheme="majorHAnsi" w:hAnsiTheme="majorHAnsi" w:cstheme="majorHAnsi"/>
                <w:color w:val="222222"/>
                <w:shd w:val="clear" w:color="auto" w:fill="FFFFFF"/>
              </w:rPr>
              <w:t>Rowan, B. (2002). The ecology of school improvement: Notes on the school improvement industry in the United States. </w:t>
            </w:r>
            <w:r w:rsidRPr="005B5260">
              <w:rPr>
                <w:rFonts w:asciiTheme="majorHAnsi" w:hAnsiTheme="majorHAnsi" w:cstheme="majorHAnsi"/>
                <w:i/>
                <w:iCs/>
                <w:color w:val="222222"/>
                <w:shd w:val="clear" w:color="auto" w:fill="FFFFFF"/>
              </w:rPr>
              <w:t>Journal of Educational Change</w:t>
            </w:r>
            <w:r w:rsidRPr="005B5260">
              <w:rPr>
                <w:rFonts w:asciiTheme="majorHAnsi" w:hAnsiTheme="majorHAnsi" w:cstheme="majorHAnsi"/>
                <w:color w:val="222222"/>
                <w:shd w:val="clear" w:color="auto" w:fill="FFFFFF"/>
              </w:rPr>
              <w:t>, </w:t>
            </w:r>
            <w:r w:rsidRPr="005B5260">
              <w:rPr>
                <w:rFonts w:asciiTheme="majorHAnsi" w:hAnsiTheme="majorHAnsi" w:cstheme="majorHAnsi"/>
                <w:i/>
                <w:iCs/>
                <w:color w:val="222222"/>
                <w:shd w:val="clear" w:color="auto" w:fill="FFFFFF"/>
              </w:rPr>
              <w:t>3</w:t>
            </w:r>
            <w:r w:rsidRPr="005B5260">
              <w:rPr>
                <w:rFonts w:asciiTheme="majorHAnsi" w:hAnsiTheme="majorHAnsi" w:cstheme="majorHAnsi"/>
                <w:color w:val="222222"/>
                <w:shd w:val="clear" w:color="auto" w:fill="FFFFFF"/>
              </w:rPr>
              <w:t>(3-4), 283-314.</w:t>
            </w:r>
          </w:p>
          <w:p w14:paraId="302185F0" w14:textId="1D6F248C" w:rsidR="004655F8" w:rsidRDefault="004655F8" w:rsidP="00912062">
            <w:pPr>
              <w:rPr>
                <w:rFonts w:asciiTheme="majorHAnsi" w:hAnsiTheme="majorHAnsi"/>
                <w:b/>
              </w:rPr>
            </w:pPr>
          </w:p>
        </w:tc>
      </w:tr>
      <w:tr w:rsidR="004655F8" w:rsidRPr="005F4791" w14:paraId="67E0DC64" w14:textId="77777777" w:rsidTr="004655F8">
        <w:trPr>
          <w:cantSplit/>
        </w:trPr>
        <w:tc>
          <w:tcPr>
            <w:tcW w:w="771" w:type="dxa"/>
          </w:tcPr>
          <w:p w14:paraId="34480FB1" w14:textId="533B34CB" w:rsidR="004655F8" w:rsidRDefault="003D317C" w:rsidP="00A00E84">
            <w:pPr>
              <w:rPr>
                <w:rFonts w:asciiTheme="majorHAnsi" w:hAnsiTheme="majorHAnsi"/>
                <w:b/>
              </w:rPr>
            </w:pPr>
            <w:r>
              <w:rPr>
                <w:rFonts w:asciiTheme="majorHAnsi" w:hAnsiTheme="majorHAnsi"/>
                <w:b/>
              </w:rPr>
              <w:t>11</w:t>
            </w:r>
          </w:p>
          <w:p w14:paraId="4B8EC0DB" w14:textId="77777777" w:rsidR="004655F8" w:rsidRDefault="004655F8" w:rsidP="00A00E84">
            <w:pPr>
              <w:rPr>
                <w:rFonts w:asciiTheme="majorHAnsi" w:hAnsiTheme="majorHAnsi"/>
                <w:b/>
              </w:rPr>
            </w:pPr>
          </w:p>
          <w:p w14:paraId="4068DF4B" w14:textId="2DC7B040" w:rsidR="004655F8" w:rsidRDefault="00AE73C0" w:rsidP="00A00E84">
            <w:pPr>
              <w:rPr>
                <w:rFonts w:asciiTheme="majorHAnsi" w:hAnsiTheme="majorHAnsi"/>
                <w:b/>
              </w:rPr>
            </w:pPr>
            <w:r>
              <w:rPr>
                <w:rFonts w:asciiTheme="majorHAnsi" w:hAnsiTheme="majorHAnsi"/>
                <w:b/>
              </w:rPr>
              <w:t xml:space="preserve">Nov. </w:t>
            </w:r>
            <w:r w:rsidR="003D317C">
              <w:rPr>
                <w:rFonts w:asciiTheme="majorHAnsi" w:hAnsiTheme="majorHAnsi"/>
                <w:b/>
              </w:rPr>
              <w:t>13</w:t>
            </w:r>
          </w:p>
        </w:tc>
        <w:tc>
          <w:tcPr>
            <w:tcW w:w="8579" w:type="dxa"/>
          </w:tcPr>
          <w:p w14:paraId="124B2541" w14:textId="6C771CCE" w:rsidR="004655F8" w:rsidRDefault="00B565D1" w:rsidP="00B565D1">
            <w:pPr>
              <w:rPr>
                <w:rFonts w:asciiTheme="majorHAnsi" w:hAnsiTheme="majorHAnsi"/>
                <w:b/>
              </w:rPr>
            </w:pPr>
            <w:r>
              <w:rPr>
                <w:rFonts w:asciiTheme="majorHAnsi" w:hAnsiTheme="majorHAnsi"/>
                <w:b/>
              </w:rPr>
              <w:t>Group work time / Individual meetings</w:t>
            </w:r>
          </w:p>
        </w:tc>
      </w:tr>
      <w:tr w:rsidR="004655F8" w:rsidRPr="005F4791" w14:paraId="234E3065" w14:textId="77777777" w:rsidTr="004655F8">
        <w:trPr>
          <w:cantSplit/>
        </w:trPr>
        <w:tc>
          <w:tcPr>
            <w:tcW w:w="771" w:type="dxa"/>
          </w:tcPr>
          <w:p w14:paraId="3B98FAD1" w14:textId="43E48F8A" w:rsidR="004655F8" w:rsidRDefault="003D317C" w:rsidP="00A00E84">
            <w:pPr>
              <w:rPr>
                <w:rFonts w:asciiTheme="majorHAnsi" w:hAnsiTheme="majorHAnsi"/>
                <w:b/>
              </w:rPr>
            </w:pPr>
            <w:r>
              <w:rPr>
                <w:rFonts w:asciiTheme="majorHAnsi" w:hAnsiTheme="majorHAnsi"/>
                <w:b/>
              </w:rPr>
              <w:lastRenderedPageBreak/>
              <w:t>12</w:t>
            </w:r>
          </w:p>
          <w:p w14:paraId="76DB09D3" w14:textId="77777777" w:rsidR="004655F8" w:rsidRDefault="004655F8" w:rsidP="00A00E84">
            <w:pPr>
              <w:rPr>
                <w:rFonts w:asciiTheme="majorHAnsi" w:hAnsiTheme="majorHAnsi"/>
                <w:b/>
              </w:rPr>
            </w:pPr>
          </w:p>
          <w:p w14:paraId="7CCE552E" w14:textId="745D908B" w:rsidR="004655F8" w:rsidRPr="005F4791" w:rsidRDefault="004655F8" w:rsidP="00A00E84">
            <w:pPr>
              <w:rPr>
                <w:rFonts w:asciiTheme="majorHAnsi" w:hAnsiTheme="majorHAnsi"/>
                <w:b/>
              </w:rPr>
            </w:pPr>
            <w:r>
              <w:rPr>
                <w:rFonts w:asciiTheme="majorHAnsi" w:hAnsiTheme="majorHAnsi"/>
                <w:b/>
              </w:rPr>
              <w:t xml:space="preserve">Nov. </w:t>
            </w:r>
            <w:r w:rsidR="003D317C">
              <w:rPr>
                <w:rFonts w:asciiTheme="majorHAnsi" w:hAnsiTheme="majorHAnsi"/>
                <w:b/>
              </w:rPr>
              <w:t>20</w:t>
            </w:r>
          </w:p>
        </w:tc>
        <w:tc>
          <w:tcPr>
            <w:tcW w:w="8579" w:type="dxa"/>
          </w:tcPr>
          <w:p w14:paraId="24E2C647" w14:textId="77777777" w:rsidR="005B5260" w:rsidRDefault="005B5260" w:rsidP="005B5260">
            <w:pPr>
              <w:rPr>
                <w:rFonts w:asciiTheme="majorHAnsi" w:hAnsiTheme="majorHAnsi"/>
                <w:b/>
              </w:rPr>
            </w:pPr>
            <w:r>
              <w:rPr>
                <w:rFonts w:asciiTheme="majorHAnsi" w:hAnsiTheme="majorHAnsi"/>
                <w:b/>
              </w:rPr>
              <w:t>Institutional change</w:t>
            </w:r>
          </w:p>
          <w:p w14:paraId="44BBB38D" w14:textId="77777777" w:rsidR="005B5260" w:rsidRDefault="005B5260" w:rsidP="005B5260">
            <w:pPr>
              <w:autoSpaceDE w:val="0"/>
              <w:autoSpaceDN w:val="0"/>
              <w:adjustRightInd w:val="0"/>
              <w:rPr>
                <w:rFonts w:asciiTheme="majorHAnsi" w:hAnsiTheme="majorHAnsi"/>
              </w:rPr>
            </w:pPr>
            <w:r w:rsidRPr="005F4791">
              <w:rPr>
                <w:rFonts w:asciiTheme="majorHAnsi" w:hAnsiTheme="majorHAnsi"/>
              </w:rPr>
              <w:t xml:space="preserve">Coburn, C. E. (2004). Beyond decoupling: Rethinking the relationship between the institutional environment and the classroom. </w:t>
            </w:r>
            <w:r w:rsidRPr="005F4791">
              <w:rPr>
                <w:rFonts w:asciiTheme="majorHAnsi" w:hAnsiTheme="majorHAnsi"/>
                <w:i/>
                <w:iCs/>
              </w:rPr>
              <w:t>Sociology of Education, 77</w:t>
            </w:r>
            <w:r w:rsidRPr="005F4791">
              <w:rPr>
                <w:rFonts w:asciiTheme="majorHAnsi" w:hAnsiTheme="majorHAnsi"/>
              </w:rPr>
              <w:t>(3), 211-244.</w:t>
            </w:r>
          </w:p>
          <w:p w14:paraId="30FDA94F" w14:textId="77777777" w:rsidR="00A00E84" w:rsidRDefault="00A00E84" w:rsidP="005B5260">
            <w:pPr>
              <w:autoSpaceDE w:val="0"/>
              <w:autoSpaceDN w:val="0"/>
              <w:adjustRightInd w:val="0"/>
              <w:rPr>
                <w:rFonts w:asciiTheme="majorHAnsi" w:hAnsiTheme="majorHAnsi"/>
              </w:rPr>
            </w:pPr>
          </w:p>
          <w:p w14:paraId="6DA46948" w14:textId="77777777" w:rsidR="00A00E84" w:rsidRPr="005B5260" w:rsidRDefault="00A00E84" w:rsidP="00A00E84">
            <w:pPr>
              <w:rPr>
                <w:rFonts w:asciiTheme="majorHAnsi" w:hAnsiTheme="majorHAnsi" w:cstheme="majorHAnsi"/>
              </w:rPr>
            </w:pPr>
            <w:proofErr w:type="spellStart"/>
            <w:r w:rsidRPr="005B5260">
              <w:rPr>
                <w:rFonts w:asciiTheme="majorHAnsi" w:hAnsiTheme="majorHAnsi" w:cstheme="majorHAnsi"/>
              </w:rPr>
              <w:t>Peurach</w:t>
            </w:r>
            <w:proofErr w:type="spellEnd"/>
            <w:r w:rsidRPr="005B5260">
              <w:rPr>
                <w:rFonts w:asciiTheme="majorHAnsi" w:hAnsiTheme="majorHAnsi" w:cstheme="majorHAnsi"/>
              </w:rPr>
              <w:t xml:space="preserve">, D. J., Cohen, D. K., </w:t>
            </w:r>
            <w:proofErr w:type="spellStart"/>
            <w:r w:rsidRPr="005B5260">
              <w:rPr>
                <w:rFonts w:asciiTheme="majorHAnsi" w:hAnsiTheme="majorHAnsi" w:cstheme="majorHAnsi"/>
              </w:rPr>
              <w:t>Yurkofsky</w:t>
            </w:r>
            <w:proofErr w:type="spellEnd"/>
            <w:r w:rsidRPr="005B5260">
              <w:rPr>
                <w:rFonts w:asciiTheme="majorHAnsi" w:hAnsiTheme="majorHAnsi" w:cstheme="majorHAnsi"/>
              </w:rPr>
              <w:t xml:space="preserve">, M., &amp; Spillane, J. P. (Under Review). From mass public schooling to functional education systems: Changing patterns in the organization and management of instruction. </w:t>
            </w:r>
          </w:p>
          <w:p w14:paraId="6FE40D73" w14:textId="77777777" w:rsidR="005B5260" w:rsidRDefault="005B5260" w:rsidP="005B5260">
            <w:pPr>
              <w:rPr>
                <w:rFonts w:asciiTheme="majorHAnsi" w:hAnsiTheme="majorHAnsi"/>
                <w:b/>
              </w:rPr>
            </w:pPr>
          </w:p>
          <w:p w14:paraId="1AE4DDD4" w14:textId="77777777" w:rsidR="005B5260" w:rsidRDefault="005B5260" w:rsidP="005B5260">
            <w:pPr>
              <w:widowControl w:val="0"/>
              <w:autoSpaceDE w:val="0"/>
              <w:autoSpaceDN w:val="0"/>
              <w:adjustRightInd w:val="0"/>
              <w:rPr>
                <w:rFonts w:asciiTheme="majorHAnsi" w:hAnsiTheme="majorHAnsi"/>
              </w:rPr>
            </w:pPr>
            <w:r w:rsidRPr="005F4791">
              <w:rPr>
                <w:rFonts w:asciiTheme="majorHAnsi" w:hAnsiTheme="majorHAnsi"/>
              </w:rPr>
              <w:t xml:space="preserve">Lounsbury, M., &amp; Pollack, S. (2001). Institutionalizing civic engagement: Shifting logics and the cultural repackaging of service-learning in US higher education. </w:t>
            </w:r>
            <w:r w:rsidRPr="00912062">
              <w:rPr>
                <w:rFonts w:asciiTheme="majorHAnsi" w:hAnsiTheme="majorHAnsi"/>
                <w:i/>
              </w:rPr>
              <w:t>Organization</w:t>
            </w:r>
            <w:r w:rsidRPr="005F4791">
              <w:rPr>
                <w:rFonts w:asciiTheme="majorHAnsi" w:hAnsiTheme="majorHAnsi"/>
              </w:rPr>
              <w:t>, 8(2), 319–339.</w:t>
            </w:r>
          </w:p>
          <w:p w14:paraId="591EDAF7" w14:textId="77777777" w:rsidR="005B5260" w:rsidRDefault="005B5260" w:rsidP="005B5260">
            <w:pPr>
              <w:widowControl w:val="0"/>
              <w:autoSpaceDE w:val="0"/>
              <w:autoSpaceDN w:val="0"/>
              <w:adjustRightInd w:val="0"/>
              <w:rPr>
                <w:rFonts w:asciiTheme="majorHAnsi" w:hAnsiTheme="majorHAnsi"/>
              </w:rPr>
            </w:pPr>
          </w:p>
          <w:p w14:paraId="0FC3247A" w14:textId="77777777" w:rsidR="005B5260" w:rsidRDefault="005B5260" w:rsidP="005B5260">
            <w:pPr>
              <w:rPr>
                <w:rFonts w:asciiTheme="majorHAnsi" w:hAnsiTheme="majorHAnsi"/>
              </w:rPr>
            </w:pPr>
            <w:r w:rsidRPr="005F4791">
              <w:rPr>
                <w:rFonts w:asciiTheme="majorHAnsi" w:hAnsiTheme="majorHAnsi"/>
              </w:rPr>
              <w:t xml:space="preserve">Russell, J. L. (2011).  From Child’s Garden to Academic Press: The role of shifting institutional logics in redefining kindergarten education.  </w:t>
            </w:r>
            <w:r w:rsidRPr="005F4791">
              <w:rPr>
                <w:rFonts w:asciiTheme="majorHAnsi" w:hAnsiTheme="majorHAnsi"/>
                <w:i/>
              </w:rPr>
              <w:t>American Educational Research Journal, 48</w:t>
            </w:r>
            <w:r w:rsidRPr="005F4791">
              <w:rPr>
                <w:rFonts w:asciiTheme="majorHAnsi" w:hAnsiTheme="majorHAnsi"/>
              </w:rPr>
              <w:t xml:space="preserve"> (2), 236-267. </w:t>
            </w:r>
          </w:p>
          <w:p w14:paraId="2742BF11" w14:textId="77777777" w:rsidR="003D317C" w:rsidRDefault="003D317C" w:rsidP="005B5260">
            <w:pPr>
              <w:rPr>
                <w:rFonts w:asciiTheme="majorHAnsi" w:hAnsiTheme="majorHAnsi" w:cstheme="majorHAnsi"/>
              </w:rPr>
            </w:pPr>
          </w:p>
          <w:p w14:paraId="12A6C7DD" w14:textId="088B05E5" w:rsidR="005B5260" w:rsidRPr="003D317C" w:rsidRDefault="003D317C" w:rsidP="00A00E84">
            <w:pPr>
              <w:rPr>
                <w:rFonts w:asciiTheme="majorHAnsi" w:hAnsiTheme="majorHAnsi" w:cstheme="majorHAnsi"/>
              </w:rPr>
            </w:pPr>
            <w:r>
              <w:rPr>
                <w:rFonts w:asciiTheme="majorHAnsi" w:hAnsiTheme="majorHAnsi" w:cstheme="majorHAnsi"/>
              </w:rPr>
              <w:t>Group Presentations</w:t>
            </w:r>
          </w:p>
        </w:tc>
      </w:tr>
      <w:tr w:rsidR="004655F8" w:rsidRPr="005F4791" w14:paraId="30455288" w14:textId="77777777" w:rsidTr="00A00E84">
        <w:trPr>
          <w:cantSplit/>
          <w:trHeight w:val="377"/>
        </w:trPr>
        <w:tc>
          <w:tcPr>
            <w:tcW w:w="9350" w:type="dxa"/>
            <w:gridSpan w:val="2"/>
          </w:tcPr>
          <w:p w14:paraId="5D2003F9" w14:textId="37B283A5" w:rsidR="004655F8" w:rsidRPr="004655F8" w:rsidRDefault="004655F8" w:rsidP="004655F8">
            <w:pPr>
              <w:rPr>
                <w:b/>
              </w:rPr>
            </w:pPr>
            <w:r>
              <w:rPr>
                <w:b/>
              </w:rPr>
              <w:t xml:space="preserve">Segment 4: </w:t>
            </w:r>
            <w:r w:rsidR="00B565D1">
              <w:rPr>
                <w:b/>
              </w:rPr>
              <w:t>Networked improvement communities</w:t>
            </w:r>
            <w:r w:rsidR="00795E36">
              <w:rPr>
                <w:b/>
              </w:rPr>
              <w:t>…organizing for improvement at scale</w:t>
            </w:r>
          </w:p>
        </w:tc>
      </w:tr>
      <w:tr w:rsidR="004655F8" w14:paraId="54443E2A" w14:textId="77777777" w:rsidTr="004655F8">
        <w:trPr>
          <w:cantSplit/>
        </w:trPr>
        <w:tc>
          <w:tcPr>
            <w:tcW w:w="771" w:type="dxa"/>
          </w:tcPr>
          <w:p w14:paraId="0349379A" w14:textId="77777777" w:rsidR="004655F8" w:rsidRDefault="004655F8" w:rsidP="00A00E84">
            <w:pPr>
              <w:rPr>
                <w:rFonts w:asciiTheme="majorHAnsi" w:hAnsiTheme="majorHAnsi"/>
                <w:b/>
              </w:rPr>
            </w:pPr>
            <w:r>
              <w:rPr>
                <w:rFonts w:asciiTheme="majorHAnsi" w:hAnsiTheme="majorHAnsi"/>
                <w:b/>
              </w:rPr>
              <w:t>13</w:t>
            </w:r>
          </w:p>
          <w:p w14:paraId="2AE6C0A0" w14:textId="77777777" w:rsidR="004655F8" w:rsidRDefault="004655F8" w:rsidP="00A00E84">
            <w:pPr>
              <w:rPr>
                <w:rFonts w:asciiTheme="majorHAnsi" w:hAnsiTheme="majorHAnsi"/>
                <w:b/>
              </w:rPr>
            </w:pPr>
          </w:p>
          <w:p w14:paraId="16A8B296" w14:textId="2A79ED29" w:rsidR="004655F8" w:rsidRPr="005F4791" w:rsidRDefault="004655F8" w:rsidP="00A00E84">
            <w:pPr>
              <w:rPr>
                <w:rFonts w:asciiTheme="majorHAnsi" w:hAnsiTheme="majorHAnsi"/>
                <w:b/>
              </w:rPr>
            </w:pPr>
            <w:r>
              <w:rPr>
                <w:rFonts w:asciiTheme="majorHAnsi" w:hAnsiTheme="majorHAnsi"/>
                <w:b/>
              </w:rPr>
              <w:t>Nov. 2</w:t>
            </w:r>
            <w:r w:rsidR="00AE73C0">
              <w:rPr>
                <w:rFonts w:asciiTheme="majorHAnsi" w:hAnsiTheme="majorHAnsi"/>
                <w:b/>
              </w:rPr>
              <w:t>7</w:t>
            </w:r>
          </w:p>
        </w:tc>
        <w:tc>
          <w:tcPr>
            <w:tcW w:w="8579" w:type="dxa"/>
          </w:tcPr>
          <w:p w14:paraId="5D6A53BF" w14:textId="2288614B" w:rsidR="004655F8" w:rsidRDefault="00BC5C8C" w:rsidP="00A00E84">
            <w:pPr>
              <w:rPr>
                <w:rFonts w:asciiTheme="majorHAnsi" w:hAnsiTheme="majorHAnsi"/>
                <w:b/>
              </w:rPr>
            </w:pPr>
            <w:r>
              <w:rPr>
                <w:rFonts w:asciiTheme="majorHAnsi" w:hAnsiTheme="majorHAnsi"/>
                <w:b/>
              </w:rPr>
              <w:t>Improvement Science</w:t>
            </w:r>
          </w:p>
          <w:p w14:paraId="1061E2E3" w14:textId="51EAADFD" w:rsidR="00BC5C8C" w:rsidRDefault="00BC5C8C" w:rsidP="00BC5C8C">
            <w:pPr>
              <w:rPr>
                <w:rFonts w:asciiTheme="majorHAnsi" w:hAnsiTheme="majorHAnsi" w:cstheme="majorHAnsi"/>
              </w:rPr>
            </w:pPr>
            <w:r w:rsidRPr="00BC5C8C">
              <w:rPr>
                <w:rFonts w:asciiTheme="majorHAnsi" w:hAnsiTheme="majorHAnsi" w:cstheme="majorHAnsi"/>
              </w:rPr>
              <w:t xml:space="preserve">Lewis, C. (2015). What is improvement science? Do we need it in </w:t>
            </w:r>
            <w:proofErr w:type="gramStart"/>
            <w:r w:rsidRPr="00BC5C8C">
              <w:rPr>
                <w:rFonts w:asciiTheme="majorHAnsi" w:hAnsiTheme="majorHAnsi" w:cstheme="majorHAnsi"/>
              </w:rPr>
              <w:t>education?.</w:t>
            </w:r>
            <w:proofErr w:type="gramEnd"/>
            <w:r w:rsidRPr="00BC5C8C">
              <w:rPr>
                <w:rFonts w:asciiTheme="majorHAnsi" w:hAnsiTheme="majorHAnsi" w:cstheme="majorHAnsi"/>
              </w:rPr>
              <w:t xml:space="preserve"> </w:t>
            </w:r>
            <w:r w:rsidRPr="00BC5C8C">
              <w:rPr>
                <w:rFonts w:asciiTheme="majorHAnsi" w:hAnsiTheme="majorHAnsi" w:cstheme="majorHAnsi"/>
                <w:i/>
                <w:iCs/>
              </w:rPr>
              <w:t>Educational Researcher</w:t>
            </w:r>
            <w:r w:rsidRPr="00BC5C8C">
              <w:rPr>
                <w:rFonts w:asciiTheme="majorHAnsi" w:hAnsiTheme="majorHAnsi" w:cstheme="majorHAnsi"/>
              </w:rPr>
              <w:t xml:space="preserve">, </w:t>
            </w:r>
            <w:r w:rsidRPr="00BC5C8C">
              <w:rPr>
                <w:rFonts w:asciiTheme="majorHAnsi" w:hAnsiTheme="majorHAnsi" w:cstheme="majorHAnsi"/>
                <w:i/>
                <w:iCs/>
              </w:rPr>
              <w:t>44</w:t>
            </w:r>
            <w:r w:rsidRPr="00BC5C8C">
              <w:rPr>
                <w:rFonts w:asciiTheme="majorHAnsi" w:hAnsiTheme="majorHAnsi" w:cstheme="majorHAnsi"/>
              </w:rPr>
              <w:t>(1), 54-61.</w:t>
            </w:r>
          </w:p>
          <w:p w14:paraId="33219974" w14:textId="2B08C91D" w:rsidR="00BC5C8C" w:rsidRDefault="00BC5C8C" w:rsidP="00BC5C8C">
            <w:pPr>
              <w:rPr>
                <w:rFonts w:asciiTheme="majorHAnsi" w:hAnsiTheme="majorHAnsi" w:cstheme="majorHAnsi"/>
              </w:rPr>
            </w:pPr>
          </w:p>
          <w:p w14:paraId="48E8AA38" w14:textId="77777777" w:rsidR="00BC5C8C" w:rsidRPr="00BC5C8C" w:rsidRDefault="00BC5C8C" w:rsidP="00BC5C8C">
            <w:pPr>
              <w:rPr>
                <w:rFonts w:asciiTheme="majorHAnsi" w:hAnsiTheme="majorHAnsi" w:cstheme="majorHAnsi"/>
              </w:rPr>
            </w:pPr>
            <w:bookmarkStart w:id="0" w:name="_GoBack"/>
            <w:r w:rsidRPr="00BC5C8C">
              <w:rPr>
                <w:rFonts w:asciiTheme="majorHAnsi" w:hAnsiTheme="majorHAnsi" w:cstheme="majorHAnsi"/>
              </w:rPr>
              <w:t xml:space="preserve">OPTIONAL: </w:t>
            </w:r>
            <w:proofErr w:type="spellStart"/>
            <w:r w:rsidRPr="00BC5C8C">
              <w:rPr>
                <w:rFonts w:asciiTheme="majorHAnsi" w:hAnsiTheme="majorHAnsi" w:cstheme="majorHAnsi"/>
              </w:rPr>
              <w:t>Shakman</w:t>
            </w:r>
            <w:proofErr w:type="spellEnd"/>
            <w:r w:rsidRPr="00BC5C8C">
              <w:rPr>
                <w:rFonts w:asciiTheme="majorHAnsi" w:hAnsiTheme="majorHAnsi" w:cstheme="majorHAnsi"/>
              </w:rPr>
              <w:t xml:space="preserve">, K., Bailey, J., &amp; Breslow, N. (2017). A Primer for Continuous Improvement in Schools and Districts. </w:t>
            </w:r>
            <w:r w:rsidRPr="00BC5C8C">
              <w:rPr>
                <w:rFonts w:asciiTheme="majorHAnsi" w:hAnsiTheme="majorHAnsi" w:cstheme="majorHAnsi"/>
                <w:i/>
                <w:iCs/>
              </w:rPr>
              <w:t>Teacher &amp; Leadership Programs</w:t>
            </w:r>
            <w:r w:rsidRPr="00BC5C8C">
              <w:rPr>
                <w:rFonts w:asciiTheme="majorHAnsi" w:hAnsiTheme="majorHAnsi" w:cstheme="majorHAnsi"/>
              </w:rPr>
              <w:t>.</w:t>
            </w:r>
          </w:p>
          <w:bookmarkEnd w:id="0"/>
          <w:p w14:paraId="60D7DCF3" w14:textId="3F594EBC" w:rsidR="004655F8" w:rsidRDefault="004655F8" w:rsidP="00BC5C8C">
            <w:pPr>
              <w:rPr>
                <w:rFonts w:asciiTheme="majorHAnsi" w:hAnsiTheme="majorHAnsi"/>
                <w:b/>
              </w:rPr>
            </w:pPr>
          </w:p>
        </w:tc>
      </w:tr>
      <w:tr w:rsidR="004655F8" w14:paraId="335B8F27" w14:textId="77777777" w:rsidTr="004655F8">
        <w:trPr>
          <w:cantSplit/>
        </w:trPr>
        <w:tc>
          <w:tcPr>
            <w:tcW w:w="771" w:type="dxa"/>
          </w:tcPr>
          <w:p w14:paraId="77E25B23" w14:textId="77777777" w:rsidR="004655F8" w:rsidRDefault="004655F8" w:rsidP="00A00E84">
            <w:pPr>
              <w:rPr>
                <w:rFonts w:asciiTheme="majorHAnsi" w:hAnsiTheme="majorHAnsi"/>
                <w:b/>
              </w:rPr>
            </w:pPr>
            <w:r>
              <w:rPr>
                <w:rFonts w:asciiTheme="majorHAnsi" w:hAnsiTheme="majorHAnsi"/>
                <w:b/>
              </w:rPr>
              <w:t>14</w:t>
            </w:r>
          </w:p>
          <w:p w14:paraId="41CF4873" w14:textId="77777777" w:rsidR="004655F8" w:rsidRDefault="004655F8" w:rsidP="00A00E84">
            <w:pPr>
              <w:rPr>
                <w:rFonts w:asciiTheme="majorHAnsi" w:hAnsiTheme="majorHAnsi"/>
                <w:b/>
              </w:rPr>
            </w:pPr>
          </w:p>
          <w:p w14:paraId="5911B85C" w14:textId="6E80D221" w:rsidR="004655F8" w:rsidRDefault="00AE73C0" w:rsidP="00A00E84">
            <w:pPr>
              <w:rPr>
                <w:rFonts w:asciiTheme="majorHAnsi" w:hAnsiTheme="majorHAnsi"/>
                <w:b/>
              </w:rPr>
            </w:pPr>
            <w:r>
              <w:rPr>
                <w:rFonts w:asciiTheme="majorHAnsi" w:hAnsiTheme="majorHAnsi"/>
                <w:b/>
              </w:rPr>
              <w:t>Dec. 4</w:t>
            </w:r>
          </w:p>
        </w:tc>
        <w:tc>
          <w:tcPr>
            <w:tcW w:w="8579" w:type="dxa"/>
          </w:tcPr>
          <w:p w14:paraId="4415C371" w14:textId="77777777" w:rsidR="004655F8" w:rsidRDefault="004655F8" w:rsidP="00A00E84">
            <w:pPr>
              <w:rPr>
                <w:rFonts w:asciiTheme="majorHAnsi" w:hAnsiTheme="majorHAnsi"/>
                <w:b/>
              </w:rPr>
            </w:pPr>
            <w:r>
              <w:rPr>
                <w:rFonts w:asciiTheme="majorHAnsi" w:hAnsiTheme="majorHAnsi"/>
                <w:b/>
              </w:rPr>
              <w:t>Networked improvement communities</w:t>
            </w:r>
          </w:p>
          <w:p w14:paraId="43C97078" w14:textId="0D604541" w:rsidR="003D317C" w:rsidRPr="003C2D7E" w:rsidRDefault="003D317C" w:rsidP="003D317C">
            <w:pPr>
              <w:rPr>
                <w:rFonts w:asciiTheme="majorHAnsi" w:hAnsiTheme="majorHAnsi" w:cstheme="majorHAnsi"/>
              </w:rPr>
            </w:pPr>
            <w:r w:rsidRPr="003C2D7E">
              <w:rPr>
                <w:rFonts w:asciiTheme="majorHAnsi" w:hAnsiTheme="majorHAnsi" w:cstheme="majorHAnsi"/>
                <w:color w:val="222222"/>
                <w:shd w:val="clear" w:color="auto" w:fill="FFFFFF"/>
              </w:rPr>
              <w:t xml:space="preserve">Bryk, A. S., Gomez, L. M., </w:t>
            </w:r>
            <w:proofErr w:type="spellStart"/>
            <w:r w:rsidRPr="003C2D7E">
              <w:rPr>
                <w:rFonts w:asciiTheme="majorHAnsi" w:hAnsiTheme="majorHAnsi" w:cstheme="majorHAnsi"/>
                <w:color w:val="222222"/>
                <w:shd w:val="clear" w:color="auto" w:fill="FFFFFF"/>
              </w:rPr>
              <w:t>Grunow</w:t>
            </w:r>
            <w:proofErr w:type="spellEnd"/>
            <w:r w:rsidRPr="003C2D7E">
              <w:rPr>
                <w:rFonts w:asciiTheme="majorHAnsi" w:hAnsiTheme="majorHAnsi" w:cstheme="majorHAnsi"/>
                <w:color w:val="222222"/>
                <w:shd w:val="clear" w:color="auto" w:fill="FFFFFF"/>
              </w:rPr>
              <w:t xml:space="preserve">, A., &amp; </w:t>
            </w:r>
            <w:proofErr w:type="spellStart"/>
            <w:r w:rsidRPr="003C2D7E">
              <w:rPr>
                <w:rFonts w:asciiTheme="majorHAnsi" w:hAnsiTheme="majorHAnsi" w:cstheme="majorHAnsi"/>
                <w:color w:val="222222"/>
                <w:shd w:val="clear" w:color="auto" w:fill="FFFFFF"/>
              </w:rPr>
              <w:t>LeMahieu</w:t>
            </w:r>
            <w:proofErr w:type="spellEnd"/>
            <w:r w:rsidRPr="003C2D7E">
              <w:rPr>
                <w:rFonts w:asciiTheme="majorHAnsi" w:hAnsiTheme="majorHAnsi" w:cstheme="majorHAnsi"/>
                <w:color w:val="222222"/>
                <w:shd w:val="clear" w:color="auto" w:fill="FFFFFF"/>
              </w:rPr>
              <w:t>, P. G. (2015). </w:t>
            </w:r>
            <w:r w:rsidRPr="003C2D7E">
              <w:rPr>
                <w:rFonts w:asciiTheme="majorHAnsi" w:hAnsiTheme="majorHAnsi" w:cstheme="majorHAnsi"/>
                <w:i/>
                <w:iCs/>
                <w:color w:val="222222"/>
                <w:shd w:val="clear" w:color="auto" w:fill="FFFFFF"/>
              </w:rPr>
              <w:t>Learning to improve: How America’s schools can get better at getting better</w:t>
            </w:r>
            <w:r w:rsidRPr="003C2D7E">
              <w:rPr>
                <w:rFonts w:asciiTheme="majorHAnsi" w:hAnsiTheme="majorHAnsi" w:cstheme="majorHAnsi"/>
                <w:color w:val="222222"/>
                <w:shd w:val="clear" w:color="auto" w:fill="FFFFFF"/>
              </w:rPr>
              <w:t>. Harvard Education Press.</w:t>
            </w:r>
            <w:r>
              <w:rPr>
                <w:rFonts w:asciiTheme="majorHAnsi" w:hAnsiTheme="majorHAnsi" w:cstheme="majorHAnsi"/>
                <w:color w:val="222222"/>
                <w:shd w:val="clear" w:color="auto" w:fill="FFFFFF"/>
              </w:rPr>
              <w:t xml:space="preserve"> Chapter 6.</w:t>
            </w:r>
          </w:p>
          <w:p w14:paraId="1ACA1EFB" w14:textId="77777777" w:rsidR="00A00E84" w:rsidRPr="00A00E84" w:rsidRDefault="00A00E84" w:rsidP="00983E23">
            <w:pPr>
              <w:rPr>
                <w:rFonts w:asciiTheme="majorHAnsi" w:hAnsiTheme="majorHAnsi" w:cstheme="maj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3"/>
            </w:tblGrid>
            <w:tr w:rsidR="00A00E84" w:rsidRPr="00A00E84" w14:paraId="2D1A05C5" w14:textId="77777777" w:rsidTr="00A00E84">
              <w:trPr>
                <w:tblCellSpacing w:w="15" w:type="dxa"/>
              </w:trPr>
              <w:tc>
                <w:tcPr>
                  <w:tcW w:w="0" w:type="auto"/>
                  <w:vAlign w:val="center"/>
                  <w:hideMark/>
                </w:tcPr>
                <w:p w14:paraId="53C0F8EA" w14:textId="377D030C" w:rsidR="00A00E84" w:rsidRPr="00A00E84" w:rsidRDefault="00BC5C8C" w:rsidP="00A00E84">
                  <w:pPr>
                    <w:rPr>
                      <w:rFonts w:asciiTheme="majorHAnsi" w:hAnsiTheme="majorHAnsi" w:cstheme="majorHAnsi"/>
                    </w:rPr>
                  </w:pPr>
                  <w:r>
                    <w:rPr>
                      <w:rFonts w:asciiTheme="majorHAnsi" w:hAnsiTheme="majorHAnsi" w:cstheme="majorHAnsi"/>
                    </w:rPr>
                    <w:t xml:space="preserve">OPTIONAL: </w:t>
                  </w:r>
                  <w:r w:rsidR="00A00E84" w:rsidRPr="00A00E84">
                    <w:rPr>
                      <w:rFonts w:asciiTheme="majorHAnsi" w:hAnsiTheme="majorHAnsi" w:cstheme="majorHAnsi"/>
                    </w:rPr>
                    <w:t xml:space="preserve">Russell, J. L., Bryk, A. S., </w:t>
                  </w:r>
                  <w:proofErr w:type="spellStart"/>
                  <w:r w:rsidR="00A00E84" w:rsidRPr="00A00E84">
                    <w:rPr>
                      <w:rFonts w:asciiTheme="majorHAnsi" w:hAnsiTheme="majorHAnsi" w:cstheme="majorHAnsi"/>
                    </w:rPr>
                    <w:t>Dolle</w:t>
                  </w:r>
                  <w:proofErr w:type="spellEnd"/>
                  <w:r w:rsidR="00A00E84" w:rsidRPr="00A00E84">
                    <w:rPr>
                      <w:rFonts w:asciiTheme="majorHAnsi" w:hAnsiTheme="majorHAnsi" w:cstheme="majorHAnsi"/>
                    </w:rPr>
                    <w:t xml:space="preserve">, J., Gomez, L. M., </w:t>
                  </w:r>
                  <w:proofErr w:type="spellStart"/>
                  <w:r w:rsidR="00A00E84" w:rsidRPr="00A00E84">
                    <w:rPr>
                      <w:rFonts w:asciiTheme="majorHAnsi" w:hAnsiTheme="majorHAnsi" w:cstheme="majorHAnsi"/>
                    </w:rPr>
                    <w:t>LeMahieu</w:t>
                  </w:r>
                  <w:proofErr w:type="spellEnd"/>
                  <w:r w:rsidR="00A00E84" w:rsidRPr="00A00E84">
                    <w:rPr>
                      <w:rFonts w:asciiTheme="majorHAnsi" w:hAnsiTheme="majorHAnsi" w:cstheme="majorHAnsi"/>
                    </w:rPr>
                    <w:t xml:space="preserve">, P., &amp; </w:t>
                  </w:r>
                  <w:proofErr w:type="spellStart"/>
                  <w:r w:rsidR="00A00E84" w:rsidRPr="00A00E84">
                    <w:rPr>
                      <w:rFonts w:asciiTheme="majorHAnsi" w:hAnsiTheme="majorHAnsi" w:cstheme="majorHAnsi"/>
                    </w:rPr>
                    <w:t>Grunow</w:t>
                  </w:r>
                  <w:proofErr w:type="spellEnd"/>
                  <w:r w:rsidR="00A00E84" w:rsidRPr="00A00E84">
                    <w:rPr>
                      <w:rFonts w:asciiTheme="majorHAnsi" w:hAnsiTheme="majorHAnsi" w:cstheme="majorHAnsi"/>
                    </w:rPr>
                    <w:t xml:space="preserve">, A. (2017). A framework for the initiation of networked improvement communities. </w:t>
                  </w:r>
                  <w:r w:rsidR="00A00E84" w:rsidRPr="00A00E84">
                    <w:rPr>
                      <w:rFonts w:asciiTheme="majorHAnsi" w:hAnsiTheme="majorHAnsi" w:cstheme="majorHAnsi"/>
                      <w:i/>
                      <w:iCs/>
                    </w:rPr>
                    <w:t>Teachers College Record</w:t>
                  </w:r>
                  <w:r w:rsidR="00A00E84" w:rsidRPr="00A00E84">
                    <w:rPr>
                      <w:rFonts w:asciiTheme="majorHAnsi" w:hAnsiTheme="majorHAnsi" w:cstheme="majorHAnsi"/>
                    </w:rPr>
                    <w:t xml:space="preserve">, </w:t>
                  </w:r>
                  <w:r w:rsidR="00A00E84" w:rsidRPr="00A00E84">
                    <w:rPr>
                      <w:rFonts w:asciiTheme="majorHAnsi" w:hAnsiTheme="majorHAnsi" w:cstheme="majorHAnsi"/>
                      <w:i/>
                      <w:iCs/>
                    </w:rPr>
                    <w:t>119</w:t>
                  </w:r>
                  <w:r w:rsidR="00A00E84" w:rsidRPr="00A00E84">
                    <w:rPr>
                      <w:rFonts w:asciiTheme="majorHAnsi" w:hAnsiTheme="majorHAnsi" w:cstheme="majorHAnsi"/>
                    </w:rPr>
                    <w:t>(7).</w:t>
                  </w:r>
                </w:p>
              </w:tc>
            </w:tr>
            <w:tr w:rsidR="00A00E84" w:rsidRPr="00A00E84" w14:paraId="1CFC1FFE" w14:textId="77777777" w:rsidTr="00A00E84">
              <w:trPr>
                <w:tblCellSpacing w:w="15" w:type="dxa"/>
              </w:trPr>
              <w:tc>
                <w:tcPr>
                  <w:tcW w:w="0" w:type="auto"/>
                  <w:vAlign w:val="center"/>
                  <w:hideMark/>
                </w:tcPr>
                <w:p w14:paraId="5A5C2B75" w14:textId="77777777" w:rsidR="00A00E84" w:rsidRPr="00A00E84" w:rsidRDefault="00A00E84" w:rsidP="00A00E84">
                  <w:pPr>
                    <w:rPr>
                      <w:rFonts w:asciiTheme="majorHAnsi" w:hAnsiTheme="majorHAnsi" w:cstheme="majorHAnsi"/>
                    </w:rPr>
                  </w:pPr>
                </w:p>
              </w:tc>
            </w:tr>
          </w:tbl>
          <w:p w14:paraId="17DA78DE" w14:textId="6A7DDFD2" w:rsidR="004655F8" w:rsidRDefault="004655F8" w:rsidP="00E4399E">
            <w:pPr>
              <w:rPr>
                <w:rFonts w:asciiTheme="majorHAnsi" w:hAnsiTheme="majorHAnsi"/>
                <w:b/>
              </w:rPr>
            </w:pPr>
          </w:p>
        </w:tc>
      </w:tr>
      <w:tr w:rsidR="004655F8" w:rsidRPr="00404803" w14:paraId="7F0FF996" w14:textId="77777777" w:rsidTr="004655F8">
        <w:trPr>
          <w:cantSplit/>
        </w:trPr>
        <w:tc>
          <w:tcPr>
            <w:tcW w:w="771" w:type="dxa"/>
          </w:tcPr>
          <w:p w14:paraId="5565C71C" w14:textId="77777777" w:rsidR="004655F8" w:rsidRDefault="004655F8" w:rsidP="00A00E84">
            <w:pPr>
              <w:rPr>
                <w:rFonts w:asciiTheme="majorHAnsi" w:hAnsiTheme="majorHAnsi"/>
                <w:b/>
              </w:rPr>
            </w:pPr>
            <w:r>
              <w:rPr>
                <w:rFonts w:asciiTheme="majorHAnsi" w:hAnsiTheme="majorHAnsi"/>
                <w:b/>
              </w:rPr>
              <w:t>15</w:t>
            </w:r>
          </w:p>
          <w:p w14:paraId="3C944E2B" w14:textId="77777777" w:rsidR="004655F8" w:rsidRDefault="004655F8" w:rsidP="00A00E84">
            <w:pPr>
              <w:rPr>
                <w:rFonts w:asciiTheme="majorHAnsi" w:hAnsiTheme="majorHAnsi"/>
                <w:b/>
              </w:rPr>
            </w:pPr>
          </w:p>
          <w:p w14:paraId="5A8F8EFA" w14:textId="23A618BA" w:rsidR="004655F8" w:rsidRPr="005F4791" w:rsidRDefault="004655F8" w:rsidP="00A00E84">
            <w:pPr>
              <w:rPr>
                <w:rFonts w:asciiTheme="majorHAnsi" w:hAnsiTheme="majorHAnsi"/>
                <w:b/>
              </w:rPr>
            </w:pPr>
            <w:r>
              <w:rPr>
                <w:rFonts w:asciiTheme="majorHAnsi" w:hAnsiTheme="majorHAnsi"/>
                <w:b/>
              </w:rPr>
              <w:t xml:space="preserve">Dec. </w:t>
            </w:r>
            <w:r w:rsidR="00AE73C0">
              <w:rPr>
                <w:rFonts w:asciiTheme="majorHAnsi" w:hAnsiTheme="majorHAnsi"/>
                <w:b/>
              </w:rPr>
              <w:t>11</w:t>
            </w:r>
          </w:p>
        </w:tc>
        <w:tc>
          <w:tcPr>
            <w:tcW w:w="8579" w:type="dxa"/>
          </w:tcPr>
          <w:p w14:paraId="506CF56B" w14:textId="196F3840" w:rsidR="004655F8" w:rsidRPr="00404803" w:rsidRDefault="004655F8" w:rsidP="00A00E84">
            <w:pPr>
              <w:rPr>
                <w:rFonts w:asciiTheme="majorHAnsi" w:hAnsiTheme="majorHAnsi"/>
                <w:b/>
              </w:rPr>
            </w:pPr>
            <w:r>
              <w:rPr>
                <w:rFonts w:asciiTheme="majorHAnsi" w:hAnsiTheme="majorHAnsi"/>
                <w:b/>
              </w:rPr>
              <w:t>Wrap Up and Final Presentations</w:t>
            </w:r>
          </w:p>
        </w:tc>
      </w:tr>
    </w:tbl>
    <w:p w14:paraId="6C8B441B" w14:textId="77777777" w:rsidR="004655F8" w:rsidRDefault="004655F8"/>
    <w:sectPr w:rsidR="004655F8" w:rsidSect="00BD4C4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E591" w14:textId="77777777" w:rsidR="00D63A02" w:rsidRDefault="00D63A02" w:rsidP="00BC3C23">
      <w:r>
        <w:separator/>
      </w:r>
    </w:p>
  </w:endnote>
  <w:endnote w:type="continuationSeparator" w:id="0">
    <w:p w14:paraId="3DF9C532" w14:textId="77777777" w:rsidR="00D63A02" w:rsidRDefault="00D63A02" w:rsidP="00B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3485770"/>
      <w:docPartObj>
        <w:docPartGallery w:val="Page Numbers (Bottom of Page)"/>
        <w:docPartUnique/>
      </w:docPartObj>
    </w:sdtPr>
    <w:sdtContent>
      <w:p w14:paraId="62718616" w14:textId="6CF6F439" w:rsidR="00BC3C23" w:rsidRDefault="00BC3C23" w:rsidP="00AB34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76605" w14:textId="77777777" w:rsidR="00BC3C23" w:rsidRDefault="00BC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110188"/>
      <w:docPartObj>
        <w:docPartGallery w:val="Page Numbers (Bottom of Page)"/>
        <w:docPartUnique/>
      </w:docPartObj>
    </w:sdtPr>
    <w:sdtContent>
      <w:p w14:paraId="46F46831" w14:textId="7EDED5D3" w:rsidR="00BC3C23" w:rsidRDefault="00BC3C23" w:rsidP="00AB34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A55A5" w14:textId="77777777" w:rsidR="00BC3C23" w:rsidRDefault="00BC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B251" w14:textId="77777777" w:rsidR="00D63A02" w:rsidRDefault="00D63A02" w:rsidP="00BC3C23">
      <w:r>
        <w:separator/>
      </w:r>
    </w:p>
  </w:footnote>
  <w:footnote w:type="continuationSeparator" w:id="0">
    <w:p w14:paraId="251AFE30" w14:textId="77777777" w:rsidR="00D63A02" w:rsidRDefault="00D63A02" w:rsidP="00BC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53E"/>
    <w:multiLevelType w:val="hybridMultilevel"/>
    <w:tmpl w:val="44A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5684"/>
    <w:multiLevelType w:val="hybridMultilevel"/>
    <w:tmpl w:val="7F4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E12C1"/>
    <w:multiLevelType w:val="hybridMultilevel"/>
    <w:tmpl w:val="23281C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F63803"/>
    <w:multiLevelType w:val="hybridMultilevel"/>
    <w:tmpl w:val="FE4AEF7E"/>
    <w:lvl w:ilvl="0" w:tplc="59048476">
      <w:start w:val="1"/>
      <w:numFmt w:val="bullet"/>
      <w:lvlText w:val=" "/>
      <w:lvlJc w:val="left"/>
      <w:pPr>
        <w:tabs>
          <w:tab w:val="num" w:pos="360"/>
        </w:tabs>
        <w:ind w:left="360" w:hanging="360"/>
      </w:pPr>
      <w:rPr>
        <w:rFonts w:ascii="Tw Cen MT" w:hAnsi="Tw Cen MT" w:hint="default"/>
      </w:rPr>
    </w:lvl>
    <w:lvl w:ilvl="1" w:tplc="1BFE51B8" w:tentative="1">
      <w:start w:val="1"/>
      <w:numFmt w:val="bullet"/>
      <w:lvlText w:val=" "/>
      <w:lvlJc w:val="left"/>
      <w:pPr>
        <w:tabs>
          <w:tab w:val="num" w:pos="1080"/>
        </w:tabs>
        <w:ind w:left="1080" w:hanging="360"/>
      </w:pPr>
      <w:rPr>
        <w:rFonts w:ascii="Tw Cen MT" w:hAnsi="Tw Cen MT" w:hint="default"/>
      </w:rPr>
    </w:lvl>
    <w:lvl w:ilvl="2" w:tplc="6168460C" w:tentative="1">
      <w:start w:val="1"/>
      <w:numFmt w:val="bullet"/>
      <w:lvlText w:val=" "/>
      <w:lvlJc w:val="left"/>
      <w:pPr>
        <w:tabs>
          <w:tab w:val="num" w:pos="1800"/>
        </w:tabs>
        <w:ind w:left="1800" w:hanging="360"/>
      </w:pPr>
      <w:rPr>
        <w:rFonts w:ascii="Tw Cen MT" w:hAnsi="Tw Cen MT" w:hint="default"/>
      </w:rPr>
    </w:lvl>
    <w:lvl w:ilvl="3" w:tplc="B5805E8E" w:tentative="1">
      <w:start w:val="1"/>
      <w:numFmt w:val="bullet"/>
      <w:lvlText w:val=" "/>
      <w:lvlJc w:val="left"/>
      <w:pPr>
        <w:tabs>
          <w:tab w:val="num" w:pos="2520"/>
        </w:tabs>
        <w:ind w:left="2520" w:hanging="360"/>
      </w:pPr>
      <w:rPr>
        <w:rFonts w:ascii="Tw Cen MT" w:hAnsi="Tw Cen MT" w:hint="default"/>
      </w:rPr>
    </w:lvl>
    <w:lvl w:ilvl="4" w:tplc="E3D26B86" w:tentative="1">
      <w:start w:val="1"/>
      <w:numFmt w:val="bullet"/>
      <w:lvlText w:val=" "/>
      <w:lvlJc w:val="left"/>
      <w:pPr>
        <w:tabs>
          <w:tab w:val="num" w:pos="3240"/>
        </w:tabs>
        <w:ind w:left="3240" w:hanging="360"/>
      </w:pPr>
      <w:rPr>
        <w:rFonts w:ascii="Tw Cen MT" w:hAnsi="Tw Cen MT" w:hint="default"/>
      </w:rPr>
    </w:lvl>
    <w:lvl w:ilvl="5" w:tplc="86F4D52E" w:tentative="1">
      <w:start w:val="1"/>
      <w:numFmt w:val="bullet"/>
      <w:lvlText w:val=" "/>
      <w:lvlJc w:val="left"/>
      <w:pPr>
        <w:tabs>
          <w:tab w:val="num" w:pos="3960"/>
        </w:tabs>
        <w:ind w:left="3960" w:hanging="360"/>
      </w:pPr>
      <w:rPr>
        <w:rFonts w:ascii="Tw Cen MT" w:hAnsi="Tw Cen MT" w:hint="default"/>
      </w:rPr>
    </w:lvl>
    <w:lvl w:ilvl="6" w:tplc="0004D582" w:tentative="1">
      <w:start w:val="1"/>
      <w:numFmt w:val="bullet"/>
      <w:lvlText w:val=" "/>
      <w:lvlJc w:val="left"/>
      <w:pPr>
        <w:tabs>
          <w:tab w:val="num" w:pos="4680"/>
        </w:tabs>
        <w:ind w:left="4680" w:hanging="360"/>
      </w:pPr>
      <w:rPr>
        <w:rFonts w:ascii="Tw Cen MT" w:hAnsi="Tw Cen MT" w:hint="default"/>
      </w:rPr>
    </w:lvl>
    <w:lvl w:ilvl="7" w:tplc="8080220E" w:tentative="1">
      <w:start w:val="1"/>
      <w:numFmt w:val="bullet"/>
      <w:lvlText w:val=" "/>
      <w:lvlJc w:val="left"/>
      <w:pPr>
        <w:tabs>
          <w:tab w:val="num" w:pos="5400"/>
        </w:tabs>
        <w:ind w:left="5400" w:hanging="360"/>
      </w:pPr>
      <w:rPr>
        <w:rFonts w:ascii="Tw Cen MT" w:hAnsi="Tw Cen MT" w:hint="default"/>
      </w:rPr>
    </w:lvl>
    <w:lvl w:ilvl="8" w:tplc="C018D544" w:tentative="1">
      <w:start w:val="1"/>
      <w:numFmt w:val="bullet"/>
      <w:lvlText w:val=" "/>
      <w:lvlJc w:val="left"/>
      <w:pPr>
        <w:tabs>
          <w:tab w:val="num" w:pos="6120"/>
        </w:tabs>
        <w:ind w:left="6120" w:hanging="360"/>
      </w:pPr>
      <w:rPr>
        <w:rFonts w:ascii="Tw Cen MT" w:hAnsi="Tw Cen MT" w:hint="default"/>
      </w:rPr>
    </w:lvl>
  </w:abstractNum>
  <w:abstractNum w:abstractNumId="4" w15:restartNumberingAfterBreak="0">
    <w:nsid w:val="53BF145F"/>
    <w:multiLevelType w:val="hybridMultilevel"/>
    <w:tmpl w:val="5CE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C7557"/>
    <w:multiLevelType w:val="multilevel"/>
    <w:tmpl w:val="C18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C35CC"/>
    <w:multiLevelType w:val="hybridMultilevel"/>
    <w:tmpl w:val="0EA89502"/>
    <w:lvl w:ilvl="0" w:tplc="F24CE352">
      <w:start w:val="1"/>
      <w:numFmt w:val="bullet"/>
      <w:lvlText w:val=" "/>
      <w:lvlJc w:val="left"/>
      <w:pPr>
        <w:tabs>
          <w:tab w:val="num" w:pos="720"/>
        </w:tabs>
        <w:ind w:left="720" w:hanging="360"/>
      </w:pPr>
      <w:rPr>
        <w:rFonts w:ascii="Tw Cen MT" w:hAnsi="Tw Cen MT" w:hint="default"/>
      </w:rPr>
    </w:lvl>
    <w:lvl w:ilvl="1" w:tplc="3F02A024" w:tentative="1">
      <w:start w:val="1"/>
      <w:numFmt w:val="bullet"/>
      <w:lvlText w:val=" "/>
      <w:lvlJc w:val="left"/>
      <w:pPr>
        <w:tabs>
          <w:tab w:val="num" w:pos="1440"/>
        </w:tabs>
        <w:ind w:left="1440" w:hanging="360"/>
      </w:pPr>
      <w:rPr>
        <w:rFonts w:ascii="Tw Cen MT" w:hAnsi="Tw Cen MT" w:hint="default"/>
      </w:rPr>
    </w:lvl>
    <w:lvl w:ilvl="2" w:tplc="EC2A9806" w:tentative="1">
      <w:start w:val="1"/>
      <w:numFmt w:val="bullet"/>
      <w:lvlText w:val=" "/>
      <w:lvlJc w:val="left"/>
      <w:pPr>
        <w:tabs>
          <w:tab w:val="num" w:pos="2160"/>
        </w:tabs>
        <w:ind w:left="2160" w:hanging="360"/>
      </w:pPr>
      <w:rPr>
        <w:rFonts w:ascii="Tw Cen MT" w:hAnsi="Tw Cen MT" w:hint="default"/>
      </w:rPr>
    </w:lvl>
    <w:lvl w:ilvl="3" w:tplc="8A905CE8" w:tentative="1">
      <w:start w:val="1"/>
      <w:numFmt w:val="bullet"/>
      <w:lvlText w:val=" "/>
      <w:lvlJc w:val="left"/>
      <w:pPr>
        <w:tabs>
          <w:tab w:val="num" w:pos="2880"/>
        </w:tabs>
        <w:ind w:left="2880" w:hanging="360"/>
      </w:pPr>
      <w:rPr>
        <w:rFonts w:ascii="Tw Cen MT" w:hAnsi="Tw Cen MT" w:hint="default"/>
      </w:rPr>
    </w:lvl>
    <w:lvl w:ilvl="4" w:tplc="95B268CA" w:tentative="1">
      <w:start w:val="1"/>
      <w:numFmt w:val="bullet"/>
      <w:lvlText w:val=" "/>
      <w:lvlJc w:val="left"/>
      <w:pPr>
        <w:tabs>
          <w:tab w:val="num" w:pos="3600"/>
        </w:tabs>
        <w:ind w:left="3600" w:hanging="360"/>
      </w:pPr>
      <w:rPr>
        <w:rFonts w:ascii="Tw Cen MT" w:hAnsi="Tw Cen MT" w:hint="default"/>
      </w:rPr>
    </w:lvl>
    <w:lvl w:ilvl="5" w:tplc="A0820EAE" w:tentative="1">
      <w:start w:val="1"/>
      <w:numFmt w:val="bullet"/>
      <w:lvlText w:val=" "/>
      <w:lvlJc w:val="left"/>
      <w:pPr>
        <w:tabs>
          <w:tab w:val="num" w:pos="4320"/>
        </w:tabs>
        <w:ind w:left="4320" w:hanging="360"/>
      </w:pPr>
      <w:rPr>
        <w:rFonts w:ascii="Tw Cen MT" w:hAnsi="Tw Cen MT" w:hint="default"/>
      </w:rPr>
    </w:lvl>
    <w:lvl w:ilvl="6" w:tplc="B05A1002" w:tentative="1">
      <w:start w:val="1"/>
      <w:numFmt w:val="bullet"/>
      <w:lvlText w:val=" "/>
      <w:lvlJc w:val="left"/>
      <w:pPr>
        <w:tabs>
          <w:tab w:val="num" w:pos="5040"/>
        </w:tabs>
        <w:ind w:left="5040" w:hanging="360"/>
      </w:pPr>
      <w:rPr>
        <w:rFonts w:ascii="Tw Cen MT" w:hAnsi="Tw Cen MT" w:hint="default"/>
      </w:rPr>
    </w:lvl>
    <w:lvl w:ilvl="7" w:tplc="7206C74C" w:tentative="1">
      <w:start w:val="1"/>
      <w:numFmt w:val="bullet"/>
      <w:lvlText w:val=" "/>
      <w:lvlJc w:val="left"/>
      <w:pPr>
        <w:tabs>
          <w:tab w:val="num" w:pos="5760"/>
        </w:tabs>
        <w:ind w:left="5760" w:hanging="360"/>
      </w:pPr>
      <w:rPr>
        <w:rFonts w:ascii="Tw Cen MT" w:hAnsi="Tw Cen MT" w:hint="default"/>
      </w:rPr>
    </w:lvl>
    <w:lvl w:ilvl="8" w:tplc="31805A10"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71A8011A"/>
    <w:multiLevelType w:val="hybridMultilevel"/>
    <w:tmpl w:val="C17066BA"/>
    <w:lvl w:ilvl="0" w:tplc="821A8846">
      <w:start w:val="1"/>
      <w:numFmt w:val="bullet"/>
      <w:lvlText w:val=" "/>
      <w:lvlJc w:val="left"/>
      <w:pPr>
        <w:tabs>
          <w:tab w:val="num" w:pos="360"/>
        </w:tabs>
        <w:ind w:left="360" w:hanging="360"/>
      </w:pPr>
      <w:rPr>
        <w:rFonts w:ascii="Tw Cen MT" w:hAnsi="Tw Cen MT" w:hint="default"/>
      </w:rPr>
    </w:lvl>
    <w:lvl w:ilvl="1" w:tplc="7AC2C74E" w:tentative="1">
      <w:start w:val="1"/>
      <w:numFmt w:val="bullet"/>
      <w:lvlText w:val=" "/>
      <w:lvlJc w:val="left"/>
      <w:pPr>
        <w:tabs>
          <w:tab w:val="num" w:pos="1080"/>
        </w:tabs>
        <w:ind w:left="1080" w:hanging="360"/>
      </w:pPr>
      <w:rPr>
        <w:rFonts w:ascii="Tw Cen MT" w:hAnsi="Tw Cen MT" w:hint="default"/>
      </w:rPr>
    </w:lvl>
    <w:lvl w:ilvl="2" w:tplc="83E2061C" w:tentative="1">
      <w:start w:val="1"/>
      <w:numFmt w:val="bullet"/>
      <w:lvlText w:val=" "/>
      <w:lvlJc w:val="left"/>
      <w:pPr>
        <w:tabs>
          <w:tab w:val="num" w:pos="1800"/>
        </w:tabs>
        <w:ind w:left="1800" w:hanging="360"/>
      </w:pPr>
      <w:rPr>
        <w:rFonts w:ascii="Tw Cen MT" w:hAnsi="Tw Cen MT" w:hint="default"/>
      </w:rPr>
    </w:lvl>
    <w:lvl w:ilvl="3" w:tplc="BDB8E862" w:tentative="1">
      <w:start w:val="1"/>
      <w:numFmt w:val="bullet"/>
      <w:lvlText w:val=" "/>
      <w:lvlJc w:val="left"/>
      <w:pPr>
        <w:tabs>
          <w:tab w:val="num" w:pos="2520"/>
        </w:tabs>
        <w:ind w:left="2520" w:hanging="360"/>
      </w:pPr>
      <w:rPr>
        <w:rFonts w:ascii="Tw Cen MT" w:hAnsi="Tw Cen MT" w:hint="default"/>
      </w:rPr>
    </w:lvl>
    <w:lvl w:ilvl="4" w:tplc="A28C69B8" w:tentative="1">
      <w:start w:val="1"/>
      <w:numFmt w:val="bullet"/>
      <w:lvlText w:val=" "/>
      <w:lvlJc w:val="left"/>
      <w:pPr>
        <w:tabs>
          <w:tab w:val="num" w:pos="3240"/>
        </w:tabs>
        <w:ind w:left="3240" w:hanging="360"/>
      </w:pPr>
      <w:rPr>
        <w:rFonts w:ascii="Tw Cen MT" w:hAnsi="Tw Cen MT" w:hint="default"/>
      </w:rPr>
    </w:lvl>
    <w:lvl w:ilvl="5" w:tplc="3A52A8B6" w:tentative="1">
      <w:start w:val="1"/>
      <w:numFmt w:val="bullet"/>
      <w:lvlText w:val=" "/>
      <w:lvlJc w:val="left"/>
      <w:pPr>
        <w:tabs>
          <w:tab w:val="num" w:pos="3960"/>
        </w:tabs>
        <w:ind w:left="3960" w:hanging="360"/>
      </w:pPr>
      <w:rPr>
        <w:rFonts w:ascii="Tw Cen MT" w:hAnsi="Tw Cen MT" w:hint="default"/>
      </w:rPr>
    </w:lvl>
    <w:lvl w:ilvl="6" w:tplc="EF2C06B2" w:tentative="1">
      <w:start w:val="1"/>
      <w:numFmt w:val="bullet"/>
      <w:lvlText w:val=" "/>
      <w:lvlJc w:val="left"/>
      <w:pPr>
        <w:tabs>
          <w:tab w:val="num" w:pos="4680"/>
        </w:tabs>
        <w:ind w:left="4680" w:hanging="360"/>
      </w:pPr>
      <w:rPr>
        <w:rFonts w:ascii="Tw Cen MT" w:hAnsi="Tw Cen MT" w:hint="default"/>
      </w:rPr>
    </w:lvl>
    <w:lvl w:ilvl="7" w:tplc="502615FE" w:tentative="1">
      <w:start w:val="1"/>
      <w:numFmt w:val="bullet"/>
      <w:lvlText w:val=" "/>
      <w:lvlJc w:val="left"/>
      <w:pPr>
        <w:tabs>
          <w:tab w:val="num" w:pos="5400"/>
        </w:tabs>
        <w:ind w:left="5400" w:hanging="360"/>
      </w:pPr>
      <w:rPr>
        <w:rFonts w:ascii="Tw Cen MT" w:hAnsi="Tw Cen MT" w:hint="default"/>
      </w:rPr>
    </w:lvl>
    <w:lvl w:ilvl="8" w:tplc="2F2E6C4C" w:tentative="1">
      <w:start w:val="1"/>
      <w:numFmt w:val="bullet"/>
      <w:lvlText w:val=" "/>
      <w:lvlJc w:val="left"/>
      <w:pPr>
        <w:tabs>
          <w:tab w:val="num" w:pos="6120"/>
        </w:tabs>
        <w:ind w:left="6120" w:hanging="360"/>
      </w:pPr>
      <w:rPr>
        <w:rFonts w:ascii="Tw Cen MT" w:hAnsi="Tw Cen MT" w:hint="default"/>
      </w:rPr>
    </w:lvl>
  </w:abstractNum>
  <w:abstractNum w:abstractNumId="8" w15:restartNumberingAfterBreak="0">
    <w:nsid w:val="77850999"/>
    <w:multiLevelType w:val="hybridMultilevel"/>
    <w:tmpl w:val="BD68D7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8"/>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F8"/>
    <w:rsid w:val="00043D85"/>
    <w:rsid w:val="000D21D2"/>
    <w:rsid w:val="000E002B"/>
    <w:rsid w:val="001131E3"/>
    <w:rsid w:val="001C11FC"/>
    <w:rsid w:val="001D7022"/>
    <w:rsid w:val="001F100C"/>
    <w:rsid w:val="00240E18"/>
    <w:rsid w:val="002D01E8"/>
    <w:rsid w:val="002E5448"/>
    <w:rsid w:val="003C2190"/>
    <w:rsid w:val="003C2D7E"/>
    <w:rsid w:val="003D317C"/>
    <w:rsid w:val="003D591F"/>
    <w:rsid w:val="004655F8"/>
    <w:rsid w:val="004D77A6"/>
    <w:rsid w:val="004E5269"/>
    <w:rsid w:val="00522407"/>
    <w:rsid w:val="005260C9"/>
    <w:rsid w:val="00561438"/>
    <w:rsid w:val="005744CA"/>
    <w:rsid w:val="005976EB"/>
    <w:rsid w:val="005B5260"/>
    <w:rsid w:val="00715C69"/>
    <w:rsid w:val="00795E36"/>
    <w:rsid w:val="00842B5C"/>
    <w:rsid w:val="008D3ADD"/>
    <w:rsid w:val="00912062"/>
    <w:rsid w:val="00964EE5"/>
    <w:rsid w:val="00983E23"/>
    <w:rsid w:val="009D50F3"/>
    <w:rsid w:val="00A00E84"/>
    <w:rsid w:val="00A224B9"/>
    <w:rsid w:val="00A76E47"/>
    <w:rsid w:val="00A86058"/>
    <w:rsid w:val="00A97744"/>
    <w:rsid w:val="00AE20F7"/>
    <w:rsid w:val="00AE73C0"/>
    <w:rsid w:val="00AF3D8D"/>
    <w:rsid w:val="00B565D1"/>
    <w:rsid w:val="00BC0D30"/>
    <w:rsid w:val="00BC3C23"/>
    <w:rsid w:val="00BC5C8C"/>
    <w:rsid w:val="00BD4C43"/>
    <w:rsid w:val="00BD53C5"/>
    <w:rsid w:val="00BE49AE"/>
    <w:rsid w:val="00C56863"/>
    <w:rsid w:val="00C806A7"/>
    <w:rsid w:val="00C945E9"/>
    <w:rsid w:val="00D404B9"/>
    <w:rsid w:val="00D63A02"/>
    <w:rsid w:val="00D730F2"/>
    <w:rsid w:val="00DD6857"/>
    <w:rsid w:val="00E30922"/>
    <w:rsid w:val="00E4399E"/>
    <w:rsid w:val="00F8130D"/>
    <w:rsid w:val="00F9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02A7"/>
  <w15:chartTrackingRefBased/>
  <w15:docId w15:val="{DD3879B1-9A73-6D4E-B58B-6D082B3F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5F8"/>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unhideWhenUsed/>
    <w:rsid w:val="004655F8"/>
    <w:rPr>
      <w:color w:val="0000FF"/>
      <w:u w:val="single"/>
    </w:rPr>
  </w:style>
  <w:style w:type="paragraph" w:customStyle="1" w:styleId="ColorfulList-Accent11">
    <w:name w:val="Colorful List - Accent 11"/>
    <w:basedOn w:val="Normal"/>
    <w:uiPriority w:val="34"/>
    <w:qFormat/>
    <w:rsid w:val="004655F8"/>
    <w:pPr>
      <w:ind w:left="720"/>
      <w:contextualSpacing/>
    </w:pPr>
    <w:rPr>
      <w:rFonts w:ascii="Cambria" w:eastAsia="Cambria" w:hAnsi="Cambria"/>
    </w:rPr>
  </w:style>
  <w:style w:type="paragraph" w:styleId="ListParagraph">
    <w:name w:val="List Paragraph"/>
    <w:basedOn w:val="Normal"/>
    <w:uiPriority w:val="34"/>
    <w:qFormat/>
    <w:rsid w:val="004655F8"/>
    <w:pPr>
      <w:ind w:left="720"/>
      <w:contextualSpacing/>
    </w:pPr>
    <w:rPr>
      <w:rFonts w:asciiTheme="minorHAnsi" w:eastAsiaTheme="minorHAnsi" w:hAnsiTheme="minorHAnsi" w:cstheme="minorBidi"/>
    </w:rPr>
  </w:style>
  <w:style w:type="paragraph" w:customStyle="1" w:styleId="MediumGrid1-Accent21">
    <w:name w:val="Medium Grid 1 - Accent 21"/>
    <w:basedOn w:val="Normal"/>
    <w:uiPriority w:val="34"/>
    <w:qFormat/>
    <w:rsid w:val="004655F8"/>
    <w:pPr>
      <w:ind w:left="720"/>
      <w:contextualSpacing/>
    </w:pPr>
  </w:style>
  <w:style w:type="paragraph" w:styleId="Footer">
    <w:name w:val="footer"/>
    <w:basedOn w:val="Normal"/>
    <w:link w:val="FooterChar"/>
    <w:uiPriority w:val="99"/>
    <w:unhideWhenUsed/>
    <w:rsid w:val="00BC3C23"/>
    <w:pPr>
      <w:tabs>
        <w:tab w:val="center" w:pos="4680"/>
        <w:tab w:val="right" w:pos="9360"/>
      </w:tabs>
    </w:pPr>
  </w:style>
  <w:style w:type="character" w:customStyle="1" w:styleId="FooterChar">
    <w:name w:val="Footer Char"/>
    <w:basedOn w:val="DefaultParagraphFont"/>
    <w:link w:val="Footer"/>
    <w:uiPriority w:val="99"/>
    <w:rsid w:val="00BC3C23"/>
    <w:rPr>
      <w:rFonts w:ascii="Times New Roman" w:eastAsia="Times New Roman" w:hAnsi="Times New Roman" w:cs="Times New Roman"/>
    </w:rPr>
  </w:style>
  <w:style w:type="character" w:styleId="PageNumber">
    <w:name w:val="page number"/>
    <w:basedOn w:val="DefaultParagraphFont"/>
    <w:uiPriority w:val="99"/>
    <w:semiHidden/>
    <w:unhideWhenUsed/>
    <w:rsid w:val="00BC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291">
      <w:bodyDiv w:val="1"/>
      <w:marLeft w:val="0"/>
      <w:marRight w:val="0"/>
      <w:marTop w:val="0"/>
      <w:marBottom w:val="0"/>
      <w:divBdr>
        <w:top w:val="none" w:sz="0" w:space="0" w:color="auto"/>
        <w:left w:val="none" w:sz="0" w:space="0" w:color="auto"/>
        <w:bottom w:val="none" w:sz="0" w:space="0" w:color="auto"/>
        <w:right w:val="none" w:sz="0" w:space="0" w:color="auto"/>
      </w:divBdr>
    </w:div>
    <w:div w:id="70780968">
      <w:bodyDiv w:val="1"/>
      <w:marLeft w:val="0"/>
      <w:marRight w:val="0"/>
      <w:marTop w:val="0"/>
      <w:marBottom w:val="0"/>
      <w:divBdr>
        <w:top w:val="none" w:sz="0" w:space="0" w:color="auto"/>
        <w:left w:val="none" w:sz="0" w:space="0" w:color="auto"/>
        <w:bottom w:val="none" w:sz="0" w:space="0" w:color="auto"/>
        <w:right w:val="none" w:sz="0" w:space="0" w:color="auto"/>
      </w:divBdr>
    </w:div>
    <w:div w:id="75978612">
      <w:bodyDiv w:val="1"/>
      <w:marLeft w:val="0"/>
      <w:marRight w:val="0"/>
      <w:marTop w:val="0"/>
      <w:marBottom w:val="0"/>
      <w:divBdr>
        <w:top w:val="none" w:sz="0" w:space="0" w:color="auto"/>
        <w:left w:val="none" w:sz="0" w:space="0" w:color="auto"/>
        <w:bottom w:val="none" w:sz="0" w:space="0" w:color="auto"/>
        <w:right w:val="none" w:sz="0" w:space="0" w:color="auto"/>
      </w:divBdr>
    </w:div>
    <w:div w:id="80299023">
      <w:bodyDiv w:val="1"/>
      <w:marLeft w:val="0"/>
      <w:marRight w:val="0"/>
      <w:marTop w:val="0"/>
      <w:marBottom w:val="0"/>
      <w:divBdr>
        <w:top w:val="none" w:sz="0" w:space="0" w:color="auto"/>
        <w:left w:val="none" w:sz="0" w:space="0" w:color="auto"/>
        <w:bottom w:val="none" w:sz="0" w:space="0" w:color="auto"/>
        <w:right w:val="none" w:sz="0" w:space="0" w:color="auto"/>
      </w:divBdr>
    </w:div>
    <w:div w:id="153231254">
      <w:bodyDiv w:val="1"/>
      <w:marLeft w:val="0"/>
      <w:marRight w:val="0"/>
      <w:marTop w:val="0"/>
      <w:marBottom w:val="0"/>
      <w:divBdr>
        <w:top w:val="none" w:sz="0" w:space="0" w:color="auto"/>
        <w:left w:val="none" w:sz="0" w:space="0" w:color="auto"/>
        <w:bottom w:val="none" w:sz="0" w:space="0" w:color="auto"/>
        <w:right w:val="none" w:sz="0" w:space="0" w:color="auto"/>
      </w:divBdr>
    </w:div>
    <w:div w:id="269969071">
      <w:bodyDiv w:val="1"/>
      <w:marLeft w:val="0"/>
      <w:marRight w:val="0"/>
      <w:marTop w:val="0"/>
      <w:marBottom w:val="0"/>
      <w:divBdr>
        <w:top w:val="none" w:sz="0" w:space="0" w:color="auto"/>
        <w:left w:val="none" w:sz="0" w:space="0" w:color="auto"/>
        <w:bottom w:val="none" w:sz="0" w:space="0" w:color="auto"/>
        <w:right w:val="none" w:sz="0" w:space="0" w:color="auto"/>
      </w:divBdr>
      <w:divsChild>
        <w:div w:id="344484186">
          <w:marLeft w:val="0"/>
          <w:marRight w:val="0"/>
          <w:marTop w:val="0"/>
          <w:marBottom w:val="0"/>
          <w:divBdr>
            <w:top w:val="none" w:sz="0" w:space="0" w:color="auto"/>
            <w:left w:val="none" w:sz="0" w:space="0" w:color="auto"/>
            <w:bottom w:val="none" w:sz="0" w:space="0" w:color="auto"/>
            <w:right w:val="none" w:sz="0" w:space="0" w:color="auto"/>
          </w:divBdr>
        </w:div>
        <w:div w:id="1358853409">
          <w:marLeft w:val="0"/>
          <w:marRight w:val="0"/>
          <w:marTop w:val="0"/>
          <w:marBottom w:val="0"/>
          <w:divBdr>
            <w:top w:val="none" w:sz="0" w:space="0" w:color="auto"/>
            <w:left w:val="none" w:sz="0" w:space="0" w:color="auto"/>
            <w:bottom w:val="none" w:sz="0" w:space="0" w:color="auto"/>
            <w:right w:val="none" w:sz="0" w:space="0" w:color="auto"/>
          </w:divBdr>
        </w:div>
      </w:divsChild>
    </w:div>
    <w:div w:id="349726121">
      <w:bodyDiv w:val="1"/>
      <w:marLeft w:val="0"/>
      <w:marRight w:val="0"/>
      <w:marTop w:val="0"/>
      <w:marBottom w:val="0"/>
      <w:divBdr>
        <w:top w:val="none" w:sz="0" w:space="0" w:color="auto"/>
        <w:left w:val="none" w:sz="0" w:space="0" w:color="auto"/>
        <w:bottom w:val="none" w:sz="0" w:space="0" w:color="auto"/>
        <w:right w:val="none" w:sz="0" w:space="0" w:color="auto"/>
      </w:divBdr>
    </w:div>
    <w:div w:id="383599137">
      <w:bodyDiv w:val="1"/>
      <w:marLeft w:val="0"/>
      <w:marRight w:val="0"/>
      <w:marTop w:val="0"/>
      <w:marBottom w:val="0"/>
      <w:divBdr>
        <w:top w:val="none" w:sz="0" w:space="0" w:color="auto"/>
        <w:left w:val="none" w:sz="0" w:space="0" w:color="auto"/>
        <w:bottom w:val="none" w:sz="0" w:space="0" w:color="auto"/>
        <w:right w:val="none" w:sz="0" w:space="0" w:color="auto"/>
      </w:divBdr>
      <w:divsChild>
        <w:div w:id="211423372">
          <w:marLeft w:val="144"/>
          <w:marRight w:val="0"/>
          <w:marTop w:val="240"/>
          <w:marBottom w:val="40"/>
          <w:divBdr>
            <w:top w:val="none" w:sz="0" w:space="0" w:color="auto"/>
            <w:left w:val="none" w:sz="0" w:space="0" w:color="auto"/>
            <w:bottom w:val="none" w:sz="0" w:space="0" w:color="auto"/>
            <w:right w:val="none" w:sz="0" w:space="0" w:color="auto"/>
          </w:divBdr>
        </w:div>
        <w:div w:id="651367519">
          <w:marLeft w:val="144"/>
          <w:marRight w:val="0"/>
          <w:marTop w:val="240"/>
          <w:marBottom w:val="40"/>
          <w:divBdr>
            <w:top w:val="none" w:sz="0" w:space="0" w:color="auto"/>
            <w:left w:val="none" w:sz="0" w:space="0" w:color="auto"/>
            <w:bottom w:val="none" w:sz="0" w:space="0" w:color="auto"/>
            <w:right w:val="none" w:sz="0" w:space="0" w:color="auto"/>
          </w:divBdr>
        </w:div>
        <w:div w:id="1488788011">
          <w:marLeft w:val="144"/>
          <w:marRight w:val="0"/>
          <w:marTop w:val="240"/>
          <w:marBottom w:val="40"/>
          <w:divBdr>
            <w:top w:val="none" w:sz="0" w:space="0" w:color="auto"/>
            <w:left w:val="none" w:sz="0" w:space="0" w:color="auto"/>
            <w:bottom w:val="none" w:sz="0" w:space="0" w:color="auto"/>
            <w:right w:val="none" w:sz="0" w:space="0" w:color="auto"/>
          </w:divBdr>
        </w:div>
        <w:div w:id="323818128">
          <w:marLeft w:val="144"/>
          <w:marRight w:val="0"/>
          <w:marTop w:val="240"/>
          <w:marBottom w:val="40"/>
          <w:divBdr>
            <w:top w:val="none" w:sz="0" w:space="0" w:color="auto"/>
            <w:left w:val="none" w:sz="0" w:space="0" w:color="auto"/>
            <w:bottom w:val="none" w:sz="0" w:space="0" w:color="auto"/>
            <w:right w:val="none" w:sz="0" w:space="0" w:color="auto"/>
          </w:divBdr>
        </w:div>
        <w:div w:id="1188451091">
          <w:marLeft w:val="144"/>
          <w:marRight w:val="0"/>
          <w:marTop w:val="240"/>
          <w:marBottom w:val="40"/>
          <w:divBdr>
            <w:top w:val="none" w:sz="0" w:space="0" w:color="auto"/>
            <w:left w:val="none" w:sz="0" w:space="0" w:color="auto"/>
            <w:bottom w:val="none" w:sz="0" w:space="0" w:color="auto"/>
            <w:right w:val="none" w:sz="0" w:space="0" w:color="auto"/>
          </w:divBdr>
        </w:div>
      </w:divsChild>
    </w:div>
    <w:div w:id="437413947">
      <w:bodyDiv w:val="1"/>
      <w:marLeft w:val="0"/>
      <w:marRight w:val="0"/>
      <w:marTop w:val="0"/>
      <w:marBottom w:val="0"/>
      <w:divBdr>
        <w:top w:val="none" w:sz="0" w:space="0" w:color="auto"/>
        <w:left w:val="none" w:sz="0" w:space="0" w:color="auto"/>
        <w:bottom w:val="none" w:sz="0" w:space="0" w:color="auto"/>
        <w:right w:val="none" w:sz="0" w:space="0" w:color="auto"/>
      </w:divBdr>
    </w:div>
    <w:div w:id="443773134">
      <w:bodyDiv w:val="1"/>
      <w:marLeft w:val="0"/>
      <w:marRight w:val="0"/>
      <w:marTop w:val="0"/>
      <w:marBottom w:val="0"/>
      <w:divBdr>
        <w:top w:val="none" w:sz="0" w:space="0" w:color="auto"/>
        <w:left w:val="none" w:sz="0" w:space="0" w:color="auto"/>
        <w:bottom w:val="none" w:sz="0" w:space="0" w:color="auto"/>
        <w:right w:val="none" w:sz="0" w:space="0" w:color="auto"/>
      </w:divBdr>
    </w:div>
    <w:div w:id="622155371">
      <w:bodyDiv w:val="1"/>
      <w:marLeft w:val="0"/>
      <w:marRight w:val="0"/>
      <w:marTop w:val="0"/>
      <w:marBottom w:val="0"/>
      <w:divBdr>
        <w:top w:val="none" w:sz="0" w:space="0" w:color="auto"/>
        <w:left w:val="none" w:sz="0" w:space="0" w:color="auto"/>
        <w:bottom w:val="none" w:sz="0" w:space="0" w:color="auto"/>
        <w:right w:val="none" w:sz="0" w:space="0" w:color="auto"/>
      </w:divBdr>
    </w:div>
    <w:div w:id="648363060">
      <w:bodyDiv w:val="1"/>
      <w:marLeft w:val="0"/>
      <w:marRight w:val="0"/>
      <w:marTop w:val="0"/>
      <w:marBottom w:val="0"/>
      <w:divBdr>
        <w:top w:val="none" w:sz="0" w:space="0" w:color="auto"/>
        <w:left w:val="none" w:sz="0" w:space="0" w:color="auto"/>
        <w:bottom w:val="none" w:sz="0" w:space="0" w:color="auto"/>
        <w:right w:val="none" w:sz="0" w:space="0" w:color="auto"/>
      </w:divBdr>
      <w:divsChild>
        <w:div w:id="468521403">
          <w:marLeft w:val="144"/>
          <w:marRight w:val="0"/>
          <w:marTop w:val="240"/>
          <w:marBottom w:val="40"/>
          <w:divBdr>
            <w:top w:val="none" w:sz="0" w:space="0" w:color="auto"/>
            <w:left w:val="none" w:sz="0" w:space="0" w:color="auto"/>
            <w:bottom w:val="none" w:sz="0" w:space="0" w:color="auto"/>
            <w:right w:val="none" w:sz="0" w:space="0" w:color="auto"/>
          </w:divBdr>
        </w:div>
        <w:div w:id="1683390255">
          <w:marLeft w:val="144"/>
          <w:marRight w:val="0"/>
          <w:marTop w:val="240"/>
          <w:marBottom w:val="40"/>
          <w:divBdr>
            <w:top w:val="none" w:sz="0" w:space="0" w:color="auto"/>
            <w:left w:val="none" w:sz="0" w:space="0" w:color="auto"/>
            <w:bottom w:val="none" w:sz="0" w:space="0" w:color="auto"/>
            <w:right w:val="none" w:sz="0" w:space="0" w:color="auto"/>
          </w:divBdr>
        </w:div>
        <w:div w:id="1195969438">
          <w:marLeft w:val="144"/>
          <w:marRight w:val="0"/>
          <w:marTop w:val="240"/>
          <w:marBottom w:val="40"/>
          <w:divBdr>
            <w:top w:val="none" w:sz="0" w:space="0" w:color="auto"/>
            <w:left w:val="none" w:sz="0" w:space="0" w:color="auto"/>
            <w:bottom w:val="none" w:sz="0" w:space="0" w:color="auto"/>
            <w:right w:val="none" w:sz="0" w:space="0" w:color="auto"/>
          </w:divBdr>
        </w:div>
        <w:div w:id="1115634312">
          <w:marLeft w:val="144"/>
          <w:marRight w:val="0"/>
          <w:marTop w:val="240"/>
          <w:marBottom w:val="40"/>
          <w:divBdr>
            <w:top w:val="none" w:sz="0" w:space="0" w:color="auto"/>
            <w:left w:val="none" w:sz="0" w:space="0" w:color="auto"/>
            <w:bottom w:val="none" w:sz="0" w:space="0" w:color="auto"/>
            <w:right w:val="none" w:sz="0" w:space="0" w:color="auto"/>
          </w:divBdr>
        </w:div>
        <w:div w:id="2140105793">
          <w:marLeft w:val="144"/>
          <w:marRight w:val="0"/>
          <w:marTop w:val="240"/>
          <w:marBottom w:val="40"/>
          <w:divBdr>
            <w:top w:val="none" w:sz="0" w:space="0" w:color="auto"/>
            <w:left w:val="none" w:sz="0" w:space="0" w:color="auto"/>
            <w:bottom w:val="none" w:sz="0" w:space="0" w:color="auto"/>
            <w:right w:val="none" w:sz="0" w:space="0" w:color="auto"/>
          </w:divBdr>
        </w:div>
      </w:divsChild>
    </w:div>
    <w:div w:id="650210342">
      <w:bodyDiv w:val="1"/>
      <w:marLeft w:val="0"/>
      <w:marRight w:val="0"/>
      <w:marTop w:val="0"/>
      <w:marBottom w:val="0"/>
      <w:divBdr>
        <w:top w:val="none" w:sz="0" w:space="0" w:color="auto"/>
        <w:left w:val="none" w:sz="0" w:space="0" w:color="auto"/>
        <w:bottom w:val="none" w:sz="0" w:space="0" w:color="auto"/>
        <w:right w:val="none" w:sz="0" w:space="0" w:color="auto"/>
      </w:divBdr>
      <w:divsChild>
        <w:div w:id="1565675426">
          <w:marLeft w:val="144"/>
          <w:marRight w:val="0"/>
          <w:marTop w:val="240"/>
          <w:marBottom w:val="40"/>
          <w:divBdr>
            <w:top w:val="none" w:sz="0" w:space="0" w:color="auto"/>
            <w:left w:val="none" w:sz="0" w:space="0" w:color="auto"/>
            <w:bottom w:val="none" w:sz="0" w:space="0" w:color="auto"/>
            <w:right w:val="none" w:sz="0" w:space="0" w:color="auto"/>
          </w:divBdr>
        </w:div>
      </w:divsChild>
    </w:div>
    <w:div w:id="686834911">
      <w:bodyDiv w:val="1"/>
      <w:marLeft w:val="0"/>
      <w:marRight w:val="0"/>
      <w:marTop w:val="0"/>
      <w:marBottom w:val="0"/>
      <w:divBdr>
        <w:top w:val="none" w:sz="0" w:space="0" w:color="auto"/>
        <w:left w:val="none" w:sz="0" w:space="0" w:color="auto"/>
        <w:bottom w:val="none" w:sz="0" w:space="0" w:color="auto"/>
        <w:right w:val="none" w:sz="0" w:space="0" w:color="auto"/>
      </w:divBdr>
    </w:div>
    <w:div w:id="689650842">
      <w:bodyDiv w:val="1"/>
      <w:marLeft w:val="0"/>
      <w:marRight w:val="0"/>
      <w:marTop w:val="0"/>
      <w:marBottom w:val="0"/>
      <w:divBdr>
        <w:top w:val="none" w:sz="0" w:space="0" w:color="auto"/>
        <w:left w:val="none" w:sz="0" w:space="0" w:color="auto"/>
        <w:bottom w:val="none" w:sz="0" w:space="0" w:color="auto"/>
        <w:right w:val="none" w:sz="0" w:space="0" w:color="auto"/>
      </w:divBdr>
    </w:div>
    <w:div w:id="715929791">
      <w:bodyDiv w:val="1"/>
      <w:marLeft w:val="0"/>
      <w:marRight w:val="0"/>
      <w:marTop w:val="0"/>
      <w:marBottom w:val="0"/>
      <w:divBdr>
        <w:top w:val="none" w:sz="0" w:space="0" w:color="auto"/>
        <w:left w:val="none" w:sz="0" w:space="0" w:color="auto"/>
        <w:bottom w:val="none" w:sz="0" w:space="0" w:color="auto"/>
        <w:right w:val="none" w:sz="0" w:space="0" w:color="auto"/>
      </w:divBdr>
    </w:div>
    <w:div w:id="721559559">
      <w:bodyDiv w:val="1"/>
      <w:marLeft w:val="0"/>
      <w:marRight w:val="0"/>
      <w:marTop w:val="0"/>
      <w:marBottom w:val="0"/>
      <w:divBdr>
        <w:top w:val="none" w:sz="0" w:space="0" w:color="auto"/>
        <w:left w:val="none" w:sz="0" w:space="0" w:color="auto"/>
        <w:bottom w:val="none" w:sz="0" w:space="0" w:color="auto"/>
        <w:right w:val="none" w:sz="0" w:space="0" w:color="auto"/>
      </w:divBdr>
    </w:div>
    <w:div w:id="775710475">
      <w:bodyDiv w:val="1"/>
      <w:marLeft w:val="0"/>
      <w:marRight w:val="0"/>
      <w:marTop w:val="0"/>
      <w:marBottom w:val="0"/>
      <w:divBdr>
        <w:top w:val="none" w:sz="0" w:space="0" w:color="auto"/>
        <w:left w:val="none" w:sz="0" w:space="0" w:color="auto"/>
        <w:bottom w:val="none" w:sz="0" w:space="0" w:color="auto"/>
        <w:right w:val="none" w:sz="0" w:space="0" w:color="auto"/>
      </w:divBdr>
    </w:div>
    <w:div w:id="830677771">
      <w:bodyDiv w:val="1"/>
      <w:marLeft w:val="0"/>
      <w:marRight w:val="0"/>
      <w:marTop w:val="0"/>
      <w:marBottom w:val="0"/>
      <w:divBdr>
        <w:top w:val="none" w:sz="0" w:space="0" w:color="auto"/>
        <w:left w:val="none" w:sz="0" w:space="0" w:color="auto"/>
        <w:bottom w:val="none" w:sz="0" w:space="0" w:color="auto"/>
        <w:right w:val="none" w:sz="0" w:space="0" w:color="auto"/>
      </w:divBdr>
      <w:divsChild>
        <w:div w:id="1344669460">
          <w:marLeft w:val="0"/>
          <w:marRight w:val="0"/>
          <w:marTop w:val="0"/>
          <w:marBottom w:val="0"/>
          <w:divBdr>
            <w:top w:val="none" w:sz="0" w:space="0" w:color="auto"/>
            <w:left w:val="none" w:sz="0" w:space="0" w:color="auto"/>
            <w:bottom w:val="none" w:sz="0" w:space="0" w:color="auto"/>
            <w:right w:val="none" w:sz="0" w:space="0" w:color="auto"/>
          </w:divBdr>
        </w:div>
      </w:divsChild>
    </w:div>
    <w:div w:id="842085671">
      <w:bodyDiv w:val="1"/>
      <w:marLeft w:val="0"/>
      <w:marRight w:val="0"/>
      <w:marTop w:val="0"/>
      <w:marBottom w:val="0"/>
      <w:divBdr>
        <w:top w:val="none" w:sz="0" w:space="0" w:color="auto"/>
        <w:left w:val="none" w:sz="0" w:space="0" w:color="auto"/>
        <w:bottom w:val="none" w:sz="0" w:space="0" w:color="auto"/>
        <w:right w:val="none" w:sz="0" w:space="0" w:color="auto"/>
      </w:divBdr>
    </w:div>
    <w:div w:id="1099714925">
      <w:bodyDiv w:val="1"/>
      <w:marLeft w:val="0"/>
      <w:marRight w:val="0"/>
      <w:marTop w:val="0"/>
      <w:marBottom w:val="0"/>
      <w:divBdr>
        <w:top w:val="none" w:sz="0" w:space="0" w:color="auto"/>
        <w:left w:val="none" w:sz="0" w:space="0" w:color="auto"/>
        <w:bottom w:val="none" w:sz="0" w:space="0" w:color="auto"/>
        <w:right w:val="none" w:sz="0" w:space="0" w:color="auto"/>
      </w:divBdr>
    </w:div>
    <w:div w:id="1123767014">
      <w:bodyDiv w:val="1"/>
      <w:marLeft w:val="0"/>
      <w:marRight w:val="0"/>
      <w:marTop w:val="0"/>
      <w:marBottom w:val="0"/>
      <w:divBdr>
        <w:top w:val="none" w:sz="0" w:space="0" w:color="auto"/>
        <w:left w:val="none" w:sz="0" w:space="0" w:color="auto"/>
        <w:bottom w:val="none" w:sz="0" w:space="0" w:color="auto"/>
        <w:right w:val="none" w:sz="0" w:space="0" w:color="auto"/>
      </w:divBdr>
    </w:div>
    <w:div w:id="1200901930">
      <w:bodyDiv w:val="1"/>
      <w:marLeft w:val="0"/>
      <w:marRight w:val="0"/>
      <w:marTop w:val="0"/>
      <w:marBottom w:val="0"/>
      <w:divBdr>
        <w:top w:val="none" w:sz="0" w:space="0" w:color="auto"/>
        <w:left w:val="none" w:sz="0" w:space="0" w:color="auto"/>
        <w:bottom w:val="none" w:sz="0" w:space="0" w:color="auto"/>
        <w:right w:val="none" w:sz="0" w:space="0" w:color="auto"/>
      </w:divBdr>
      <w:divsChild>
        <w:div w:id="421684593">
          <w:marLeft w:val="0"/>
          <w:marRight w:val="0"/>
          <w:marTop w:val="0"/>
          <w:marBottom w:val="0"/>
          <w:divBdr>
            <w:top w:val="none" w:sz="0" w:space="0" w:color="auto"/>
            <w:left w:val="none" w:sz="0" w:space="0" w:color="auto"/>
            <w:bottom w:val="none" w:sz="0" w:space="0" w:color="auto"/>
            <w:right w:val="none" w:sz="0" w:space="0" w:color="auto"/>
          </w:divBdr>
        </w:div>
      </w:divsChild>
    </w:div>
    <w:div w:id="1202782885">
      <w:bodyDiv w:val="1"/>
      <w:marLeft w:val="0"/>
      <w:marRight w:val="0"/>
      <w:marTop w:val="0"/>
      <w:marBottom w:val="0"/>
      <w:divBdr>
        <w:top w:val="none" w:sz="0" w:space="0" w:color="auto"/>
        <w:left w:val="none" w:sz="0" w:space="0" w:color="auto"/>
        <w:bottom w:val="none" w:sz="0" w:space="0" w:color="auto"/>
        <w:right w:val="none" w:sz="0" w:space="0" w:color="auto"/>
      </w:divBdr>
    </w:div>
    <w:div w:id="1218010260">
      <w:bodyDiv w:val="1"/>
      <w:marLeft w:val="0"/>
      <w:marRight w:val="0"/>
      <w:marTop w:val="0"/>
      <w:marBottom w:val="0"/>
      <w:divBdr>
        <w:top w:val="none" w:sz="0" w:space="0" w:color="auto"/>
        <w:left w:val="none" w:sz="0" w:space="0" w:color="auto"/>
        <w:bottom w:val="none" w:sz="0" w:space="0" w:color="auto"/>
        <w:right w:val="none" w:sz="0" w:space="0" w:color="auto"/>
      </w:divBdr>
    </w:div>
    <w:div w:id="1312707641">
      <w:bodyDiv w:val="1"/>
      <w:marLeft w:val="0"/>
      <w:marRight w:val="0"/>
      <w:marTop w:val="0"/>
      <w:marBottom w:val="0"/>
      <w:divBdr>
        <w:top w:val="none" w:sz="0" w:space="0" w:color="auto"/>
        <w:left w:val="none" w:sz="0" w:space="0" w:color="auto"/>
        <w:bottom w:val="none" w:sz="0" w:space="0" w:color="auto"/>
        <w:right w:val="none" w:sz="0" w:space="0" w:color="auto"/>
      </w:divBdr>
    </w:div>
    <w:div w:id="1384599144">
      <w:bodyDiv w:val="1"/>
      <w:marLeft w:val="0"/>
      <w:marRight w:val="0"/>
      <w:marTop w:val="0"/>
      <w:marBottom w:val="0"/>
      <w:divBdr>
        <w:top w:val="none" w:sz="0" w:space="0" w:color="auto"/>
        <w:left w:val="none" w:sz="0" w:space="0" w:color="auto"/>
        <w:bottom w:val="none" w:sz="0" w:space="0" w:color="auto"/>
        <w:right w:val="none" w:sz="0" w:space="0" w:color="auto"/>
      </w:divBdr>
      <w:divsChild>
        <w:div w:id="620962370">
          <w:marLeft w:val="0"/>
          <w:marRight w:val="0"/>
          <w:marTop w:val="0"/>
          <w:marBottom w:val="0"/>
          <w:divBdr>
            <w:top w:val="none" w:sz="0" w:space="0" w:color="auto"/>
            <w:left w:val="none" w:sz="0" w:space="0" w:color="auto"/>
            <w:bottom w:val="none" w:sz="0" w:space="0" w:color="auto"/>
            <w:right w:val="none" w:sz="0" w:space="0" w:color="auto"/>
          </w:divBdr>
        </w:div>
      </w:divsChild>
    </w:div>
    <w:div w:id="1406612923">
      <w:bodyDiv w:val="1"/>
      <w:marLeft w:val="0"/>
      <w:marRight w:val="0"/>
      <w:marTop w:val="0"/>
      <w:marBottom w:val="0"/>
      <w:divBdr>
        <w:top w:val="none" w:sz="0" w:space="0" w:color="auto"/>
        <w:left w:val="none" w:sz="0" w:space="0" w:color="auto"/>
        <w:bottom w:val="none" w:sz="0" w:space="0" w:color="auto"/>
        <w:right w:val="none" w:sz="0" w:space="0" w:color="auto"/>
      </w:divBdr>
    </w:div>
    <w:div w:id="1496802074">
      <w:bodyDiv w:val="1"/>
      <w:marLeft w:val="0"/>
      <w:marRight w:val="0"/>
      <w:marTop w:val="0"/>
      <w:marBottom w:val="0"/>
      <w:divBdr>
        <w:top w:val="none" w:sz="0" w:space="0" w:color="auto"/>
        <w:left w:val="none" w:sz="0" w:space="0" w:color="auto"/>
        <w:bottom w:val="none" w:sz="0" w:space="0" w:color="auto"/>
        <w:right w:val="none" w:sz="0" w:space="0" w:color="auto"/>
      </w:divBdr>
    </w:div>
    <w:div w:id="1512183711">
      <w:bodyDiv w:val="1"/>
      <w:marLeft w:val="0"/>
      <w:marRight w:val="0"/>
      <w:marTop w:val="0"/>
      <w:marBottom w:val="0"/>
      <w:divBdr>
        <w:top w:val="none" w:sz="0" w:space="0" w:color="auto"/>
        <w:left w:val="none" w:sz="0" w:space="0" w:color="auto"/>
        <w:bottom w:val="none" w:sz="0" w:space="0" w:color="auto"/>
        <w:right w:val="none" w:sz="0" w:space="0" w:color="auto"/>
      </w:divBdr>
    </w:div>
    <w:div w:id="1595434775">
      <w:bodyDiv w:val="1"/>
      <w:marLeft w:val="0"/>
      <w:marRight w:val="0"/>
      <w:marTop w:val="0"/>
      <w:marBottom w:val="0"/>
      <w:divBdr>
        <w:top w:val="none" w:sz="0" w:space="0" w:color="auto"/>
        <w:left w:val="none" w:sz="0" w:space="0" w:color="auto"/>
        <w:bottom w:val="none" w:sz="0" w:space="0" w:color="auto"/>
        <w:right w:val="none" w:sz="0" w:space="0" w:color="auto"/>
      </w:divBdr>
    </w:div>
    <w:div w:id="1638147257">
      <w:bodyDiv w:val="1"/>
      <w:marLeft w:val="0"/>
      <w:marRight w:val="0"/>
      <w:marTop w:val="0"/>
      <w:marBottom w:val="0"/>
      <w:divBdr>
        <w:top w:val="none" w:sz="0" w:space="0" w:color="auto"/>
        <w:left w:val="none" w:sz="0" w:space="0" w:color="auto"/>
        <w:bottom w:val="none" w:sz="0" w:space="0" w:color="auto"/>
        <w:right w:val="none" w:sz="0" w:space="0" w:color="auto"/>
      </w:divBdr>
      <w:divsChild>
        <w:div w:id="212422961">
          <w:marLeft w:val="0"/>
          <w:marRight w:val="0"/>
          <w:marTop w:val="0"/>
          <w:marBottom w:val="0"/>
          <w:divBdr>
            <w:top w:val="none" w:sz="0" w:space="0" w:color="auto"/>
            <w:left w:val="none" w:sz="0" w:space="0" w:color="auto"/>
            <w:bottom w:val="none" w:sz="0" w:space="0" w:color="auto"/>
            <w:right w:val="none" w:sz="0" w:space="0" w:color="auto"/>
          </w:divBdr>
        </w:div>
      </w:divsChild>
    </w:div>
    <w:div w:id="1847091904">
      <w:bodyDiv w:val="1"/>
      <w:marLeft w:val="0"/>
      <w:marRight w:val="0"/>
      <w:marTop w:val="0"/>
      <w:marBottom w:val="0"/>
      <w:divBdr>
        <w:top w:val="none" w:sz="0" w:space="0" w:color="auto"/>
        <w:left w:val="none" w:sz="0" w:space="0" w:color="auto"/>
        <w:bottom w:val="none" w:sz="0" w:space="0" w:color="auto"/>
        <w:right w:val="none" w:sz="0" w:space="0" w:color="auto"/>
      </w:divBdr>
    </w:div>
    <w:div w:id="1853717740">
      <w:bodyDiv w:val="1"/>
      <w:marLeft w:val="0"/>
      <w:marRight w:val="0"/>
      <w:marTop w:val="0"/>
      <w:marBottom w:val="0"/>
      <w:divBdr>
        <w:top w:val="none" w:sz="0" w:space="0" w:color="auto"/>
        <w:left w:val="none" w:sz="0" w:space="0" w:color="auto"/>
        <w:bottom w:val="none" w:sz="0" w:space="0" w:color="auto"/>
        <w:right w:val="none" w:sz="0" w:space="0" w:color="auto"/>
      </w:divBdr>
    </w:div>
    <w:div w:id="1908149201">
      <w:bodyDiv w:val="1"/>
      <w:marLeft w:val="0"/>
      <w:marRight w:val="0"/>
      <w:marTop w:val="0"/>
      <w:marBottom w:val="0"/>
      <w:divBdr>
        <w:top w:val="none" w:sz="0" w:space="0" w:color="auto"/>
        <w:left w:val="none" w:sz="0" w:space="0" w:color="auto"/>
        <w:bottom w:val="none" w:sz="0" w:space="0" w:color="auto"/>
        <w:right w:val="none" w:sz="0" w:space="0" w:color="auto"/>
      </w:divBdr>
    </w:div>
    <w:div w:id="2054767577">
      <w:bodyDiv w:val="1"/>
      <w:marLeft w:val="0"/>
      <w:marRight w:val="0"/>
      <w:marTop w:val="0"/>
      <w:marBottom w:val="0"/>
      <w:divBdr>
        <w:top w:val="none" w:sz="0" w:space="0" w:color="auto"/>
        <w:left w:val="none" w:sz="0" w:space="0" w:color="auto"/>
        <w:bottom w:val="none" w:sz="0" w:space="0" w:color="auto"/>
        <w:right w:val="none" w:sz="0" w:space="0" w:color="auto"/>
      </w:divBdr>
    </w:div>
    <w:div w:id="2057924330">
      <w:bodyDiv w:val="1"/>
      <w:marLeft w:val="0"/>
      <w:marRight w:val="0"/>
      <w:marTop w:val="0"/>
      <w:marBottom w:val="0"/>
      <w:divBdr>
        <w:top w:val="none" w:sz="0" w:space="0" w:color="auto"/>
        <w:left w:val="none" w:sz="0" w:space="0" w:color="auto"/>
        <w:bottom w:val="none" w:sz="0" w:space="0" w:color="auto"/>
        <w:right w:val="none" w:sz="0" w:space="0" w:color="auto"/>
      </w:divBdr>
    </w:div>
    <w:div w:id="2125954816">
      <w:bodyDiv w:val="1"/>
      <w:marLeft w:val="0"/>
      <w:marRight w:val="0"/>
      <w:marTop w:val="0"/>
      <w:marBottom w:val="0"/>
      <w:divBdr>
        <w:top w:val="none" w:sz="0" w:space="0" w:color="auto"/>
        <w:left w:val="none" w:sz="0" w:space="0" w:color="auto"/>
        <w:bottom w:val="none" w:sz="0" w:space="0" w:color="auto"/>
        <w:right w:val="none" w:sz="0" w:space="0" w:color="auto"/>
      </w:divBdr>
    </w:div>
    <w:div w:id="2132937372">
      <w:bodyDiv w:val="1"/>
      <w:marLeft w:val="0"/>
      <w:marRight w:val="0"/>
      <w:marTop w:val="0"/>
      <w:marBottom w:val="0"/>
      <w:divBdr>
        <w:top w:val="none" w:sz="0" w:space="0" w:color="auto"/>
        <w:left w:val="none" w:sz="0" w:space="0" w:color="auto"/>
        <w:bottom w:val="none" w:sz="0" w:space="0" w:color="auto"/>
        <w:right w:val="none" w:sz="0" w:space="0" w:color="auto"/>
      </w:divBdr>
      <w:divsChild>
        <w:div w:id="168736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ssel@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8926-9C47-E14A-BA60-3C2A2C4D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Jennifer Lin</dc:creator>
  <cp:keywords/>
  <dc:description/>
  <cp:lastModifiedBy>Jenn Russell</cp:lastModifiedBy>
  <cp:revision>6</cp:revision>
  <cp:lastPrinted>2018-12-11T16:27:00Z</cp:lastPrinted>
  <dcterms:created xsi:type="dcterms:W3CDTF">2018-11-19T18:19:00Z</dcterms:created>
  <dcterms:modified xsi:type="dcterms:W3CDTF">2018-12-11T16:27:00Z</dcterms:modified>
</cp:coreProperties>
</file>